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2401" w14:textId="77777777" w:rsidR="002E292E" w:rsidRPr="00401B87" w:rsidRDefault="002E292E" w:rsidP="002E292E">
      <w:pPr>
        <w:spacing w:after="0" w:line="276" w:lineRule="auto"/>
        <w:jc w:val="center"/>
        <w:rPr>
          <w:b/>
          <w:bCs/>
        </w:rPr>
      </w:pPr>
    </w:p>
    <w:p w14:paraId="148F0311" w14:textId="46F53BB0" w:rsidR="00060323" w:rsidRPr="000244FB" w:rsidRDefault="002E292E" w:rsidP="002E292E">
      <w:pPr>
        <w:spacing w:after="0" w:line="360" w:lineRule="auto"/>
        <w:jc w:val="center"/>
        <w:rPr>
          <w:b/>
          <w:bCs/>
          <w:u w:val="single"/>
        </w:rPr>
      </w:pPr>
      <w:r w:rsidRPr="000244FB">
        <w:rPr>
          <w:b/>
          <w:bCs/>
          <w:u w:val="single"/>
        </w:rPr>
        <w:t>ACUERDO DE CONFIDENCIALIDAD</w:t>
      </w:r>
    </w:p>
    <w:p w14:paraId="4A6C9118" w14:textId="77777777" w:rsidR="0027616D" w:rsidRPr="000244FB" w:rsidRDefault="002E292E" w:rsidP="0027616D">
      <w:pPr>
        <w:spacing w:after="0" w:line="360" w:lineRule="auto"/>
        <w:jc w:val="center"/>
        <w:rPr>
          <w:u w:val="single"/>
        </w:rPr>
      </w:pPr>
      <w:r w:rsidRPr="000244FB">
        <w:rPr>
          <w:u w:val="single"/>
        </w:rPr>
        <w:t>(El “</w:t>
      </w:r>
      <w:r w:rsidRPr="000244FB">
        <w:rPr>
          <w:b/>
          <w:bCs/>
          <w:u w:val="single"/>
        </w:rPr>
        <w:t>Acuerdo</w:t>
      </w:r>
      <w:r w:rsidRPr="000244FB">
        <w:rPr>
          <w:u w:val="single"/>
        </w:rPr>
        <w:t>”)</w:t>
      </w:r>
    </w:p>
    <w:p w14:paraId="692A49CA" w14:textId="77777777" w:rsidR="0027616D" w:rsidRDefault="0027616D" w:rsidP="0027616D">
      <w:pPr>
        <w:spacing w:after="0" w:line="360" w:lineRule="auto"/>
      </w:pPr>
    </w:p>
    <w:p w14:paraId="6721EC14" w14:textId="3B71B989" w:rsidR="00F32AFC" w:rsidRPr="00F32AFC" w:rsidRDefault="00F32AFC" w:rsidP="00FA2CE2">
      <w:pPr>
        <w:spacing w:after="0" w:line="360" w:lineRule="auto"/>
        <w:jc w:val="both"/>
      </w:pPr>
      <w:bookmarkStart w:id="0" w:name="_Hlk139353615"/>
      <w:r w:rsidRPr="00F32AFC">
        <w:rPr>
          <w:b/>
        </w:rPr>
        <w:t xml:space="preserve">De </w:t>
      </w:r>
      <w:r>
        <w:rPr>
          <w:b/>
        </w:rPr>
        <w:t>una</w:t>
      </w:r>
      <w:r w:rsidRPr="00F32AFC">
        <w:rPr>
          <w:b/>
        </w:rPr>
        <w:t xml:space="preserve"> parte</w:t>
      </w:r>
      <w:r w:rsidRPr="00F32AFC">
        <w:t xml:space="preserve">, </w:t>
      </w:r>
    </w:p>
    <w:p w14:paraId="1B6AA96A" w14:textId="77777777" w:rsidR="00F32AFC" w:rsidRPr="00F32AFC" w:rsidRDefault="00F32AFC" w:rsidP="00FA2CE2">
      <w:pPr>
        <w:spacing w:after="0" w:line="360" w:lineRule="auto"/>
        <w:jc w:val="both"/>
      </w:pPr>
    </w:p>
    <w:p w14:paraId="65F2126F" w14:textId="307F509F" w:rsidR="00F32AFC" w:rsidRPr="00F32AFC" w:rsidRDefault="00F32AFC" w:rsidP="00C61880">
      <w:pPr>
        <w:spacing w:after="0" w:line="360" w:lineRule="auto"/>
        <w:jc w:val="both"/>
      </w:pPr>
      <w:bookmarkStart w:id="1" w:name="_Hlk139874317"/>
      <w:r w:rsidRPr="61156550">
        <w:rPr>
          <w:b/>
          <w:bCs/>
        </w:rPr>
        <w:t xml:space="preserve">ENAGAS </w:t>
      </w:r>
      <w:r w:rsidR="004D0CBD" w:rsidRPr="61156550">
        <w:rPr>
          <w:b/>
          <w:bCs/>
        </w:rPr>
        <w:t>INFRAESTRUCTURAS DE HIDRÓGENO</w:t>
      </w:r>
      <w:r w:rsidRPr="61156550">
        <w:rPr>
          <w:b/>
          <w:bCs/>
        </w:rPr>
        <w:t>, S.</w:t>
      </w:r>
      <w:r w:rsidR="004D0CBD" w:rsidRPr="61156550">
        <w:rPr>
          <w:b/>
          <w:bCs/>
        </w:rPr>
        <w:t>L.</w:t>
      </w:r>
      <w:bookmarkEnd w:id="1"/>
      <w:r w:rsidR="00BC37CE" w:rsidRPr="61156550">
        <w:rPr>
          <w:b/>
          <w:bCs/>
        </w:rPr>
        <w:t xml:space="preserve">U. </w:t>
      </w:r>
      <w:r w:rsidRPr="61156550">
        <w:rPr>
          <w:b/>
          <w:bCs/>
        </w:rPr>
        <w:t xml:space="preserve">(“Enagás”), </w:t>
      </w:r>
      <w:r>
        <w:t xml:space="preserve">con domicilio social en Paseo Olmos, 19, Madrid, 28005 y provista de C.I.F número </w:t>
      </w:r>
      <w:r w:rsidR="004D0CBD">
        <w:t>B-10580116</w:t>
      </w:r>
      <w:r>
        <w:t xml:space="preserve"> y en su nombre y representación </w:t>
      </w:r>
      <w:r w:rsidR="0261B55C">
        <w:t>D. Jesús Manuel Gil Jiménez</w:t>
      </w:r>
      <w:r>
        <w:t xml:space="preserve">, </w:t>
      </w:r>
      <w:r w:rsidRPr="61156550">
        <w:t>apoderado para este acto de acuerdo con las facultades que resultan de la escritura de poder autorizada por el Notario de</w:t>
      </w:r>
      <w:r w:rsidR="00C61880">
        <w:t xml:space="preserve"> Madrid,</w:t>
      </w:r>
      <w:r w:rsidRPr="61156550">
        <w:t xml:space="preserve"> </w:t>
      </w:r>
      <w:r w:rsidR="00C61880">
        <w:t>D. Francisco Calderón Álvarez, en fecha 21 de abril de 2022, número 2.085 de su protocolo</w:t>
      </w:r>
      <w:r w:rsidRPr="61156550">
        <w:t>.</w:t>
      </w:r>
    </w:p>
    <w:p w14:paraId="5F6BCB81" w14:textId="77777777" w:rsidR="00F32AFC" w:rsidRDefault="00F32AFC" w:rsidP="00FA2CE2">
      <w:pPr>
        <w:spacing w:after="0" w:line="360" w:lineRule="auto"/>
        <w:jc w:val="both"/>
        <w:rPr>
          <w:b/>
          <w:lang w:val="es-ES_tradnl"/>
        </w:rPr>
      </w:pPr>
    </w:p>
    <w:p w14:paraId="1F348893" w14:textId="3AFB8D62" w:rsidR="00F32AFC" w:rsidRPr="00F32AFC" w:rsidRDefault="00F32AFC" w:rsidP="00FA2CE2">
      <w:pPr>
        <w:spacing w:after="0" w:line="360" w:lineRule="auto"/>
        <w:jc w:val="both"/>
      </w:pPr>
      <w:r w:rsidRPr="00F32AFC">
        <w:rPr>
          <w:b/>
        </w:rPr>
        <w:t>De otra parte</w:t>
      </w:r>
      <w:r w:rsidRPr="00F32AFC">
        <w:t xml:space="preserve">, </w:t>
      </w:r>
    </w:p>
    <w:p w14:paraId="3D682AE5" w14:textId="77777777" w:rsidR="00F32AFC" w:rsidRPr="00F32AFC" w:rsidRDefault="00F32AFC" w:rsidP="00FA2CE2">
      <w:pPr>
        <w:spacing w:after="0" w:line="360" w:lineRule="auto"/>
        <w:jc w:val="both"/>
      </w:pPr>
    </w:p>
    <w:p w14:paraId="60427592" w14:textId="7AA1C995" w:rsidR="00F32AFC" w:rsidRPr="00F32AFC" w:rsidRDefault="00F32AFC" w:rsidP="00FA2CE2">
      <w:pPr>
        <w:spacing w:after="0" w:line="360" w:lineRule="auto"/>
        <w:jc w:val="both"/>
        <w:rPr>
          <w:lang w:val="es-ES_tradnl"/>
        </w:rPr>
      </w:pPr>
      <w:r w:rsidRPr="00F32AFC">
        <w:t>[•]</w:t>
      </w:r>
      <w:r w:rsidRPr="00F32AFC">
        <w:rPr>
          <w:b/>
          <w:bCs/>
        </w:rPr>
        <w:t xml:space="preserve"> S.L. (“</w:t>
      </w:r>
      <w:r w:rsidRPr="00F32AFC">
        <w:rPr>
          <w:b/>
        </w:rPr>
        <w:t>Sociedad</w:t>
      </w:r>
      <w:r w:rsidRPr="00F32AFC">
        <w:rPr>
          <w:b/>
          <w:bCs/>
        </w:rPr>
        <w:t>”)</w:t>
      </w:r>
      <w:r>
        <w:rPr>
          <w:b/>
          <w:bCs/>
        </w:rPr>
        <w:t>,</w:t>
      </w:r>
      <w:r w:rsidRPr="00F32AFC">
        <w:rPr>
          <w:b/>
          <w:bCs/>
        </w:rPr>
        <w:t xml:space="preserve"> </w:t>
      </w:r>
      <w:r w:rsidRPr="00FA2CE2">
        <w:t>con</w:t>
      </w:r>
      <w:r w:rsidRPr="00F32AFC">
        <w:t xml:space="preserve"> domicilio social en [•] y provista de C.I.F número [•] y en su nombre y representación [•], </w:t>
      </w:r>
      <w:r w:rsidRPr="00F32AFC">
        <w:rPr>
          <w:lang w:val="es-ES_tradnl"/>
        </w:rPr>
        <w:t xml:space="preserve">apoderado para este acto de acuerdo con las facultades que resultan de la escritura de poder autorizada por el Notario de </w:t>
      </w:r>
      <w:r w:rsidRPr="00F32AFC">
        <w:t>[•]</w:t>
      </w:r>
      <w:r w:rsidRPr="00F32AFC">
        <w:rPr>
          <w:lang w:val="es-ES_tradnl"/>
        </w:rPr>
        <w:t xml:space="preserve">, Don/Doña </w:t>
      </w:r>
      <w:r w:rsidRPr="00F32AFC">
        <w:t>[•]</w:t>
      </w:r>
      <w:r w:rsidRPr="00F32AFC">
        <w:rPr>
          <w:lang w:val="es-ES_tradnl"/>
        </w:rPr>
        <w:t xml:space="preserve">, en fecha </w:t>
      </w:r>
      <w:r w:rsidRPr="00F32AFC">
        <w:t>[•]</w:t>
      </w:r>
      <w:r w:rsidRPr="00F32AFC">
        <w:rPr>
          <w:lang w:val="es-ES_tradnl"/>
        </w:rPr>
        <w:t xml:space="preserve">, número </w:t>
      </w:r>
      <w:r w:rsidRPr="00F32AFC">
        <w:t>[•]</w:t>
      </w:r>
      <w:r w:rsidRPr="00F32AFC">
        <w:rPr>
          <w:lang w:val="es-ES_tradnl"/>
        </w:rPr>
        <w:t xml:space="preserve"> de su protocolo.</w:t>
      </w:r>
    </w:p>
    <w:bookmarkEnd w:id="0"/>
    <w:p w14:paraId="70A54ED5" w14:textId="77777777" w:rsidR="00F32AFC" w:rsidRPr="00F32AFC" w:rsidRDefault="00F32AFC" w:rsidP="00FA2CE2">
      <w:pPr>
        <w:spacing w:after="0" w:line="360" w:lineRule="auto"/>
        <w:jc w:val="both"/>
        <w:rPr>
          <w:lang w:val="es-ES_tradnl"/>
        </w:rPr>
      </w:pPr>
    </w:p>
    <w:p w14:paraId="10CE37B2" w14:textId="6D62A7A3" w:rsidR="00F32AFC" w:rsidRPr="00F32AFC" w:rsidRDefault="00F32AFC" w:rsidP="00FA2CE2">
      <w:pPr>
        <w:spacing w:after="0" w:line="360" w:lineRule="auto"/>
        <w:jc w:val="both"/>
      </w:pPr>
      <w:r w:rsidRPr="00F32AFC">
        <w:t>A los efectos del presente Acuerdo, la expresión “</w:t>
      </w:r>
      <w:r w:rsidRPr="00F32AFC">
        <w:rPr>
          <w:b/>
        </w:rPr>
        <w:t>Parte</w:t>
      </w:r>
      <w:r w:rsidRPr="00F32AFC">
        <w:t>” o las “</w:t>
      </w:r>
      <w:r w:rsidRPr="00F32AFC">
        <w:rPr>
          <w:b/>
        </w:rPr>
        <w:t>Partes</w:t>
      </w:r>
      <w:r w:rsidRPr="00F32AFC">
        <w:t xml:space="preserve">”, designará respectivamente a </w:t>
      </w:r>
      <w:r>
        <w:t>Enagás</w:t>
      </w:r>
      <w:r w:rsidRPr="00F32AFC">
        <w:t xml:space="preserve"> y a la Sociedad, individual o conjuntamente de manera respectiva.</w:t>
      </w:r>
    </w:p>
    <w:p w14:paraId="523B53F2" w14:textId="77777777" w:rsidR="00F32AFC" w:rsidRPr="00F32AFC" w:rsidRDefault="00F32AFC" w:rsidP="00FA2CE2">
      <w:pPr>
        <w:spacing w:after="0" w:line="360" w:lineRule="auto"/>
        <w:jc w:val="both"/>
      </w:pPr>
    </w:p>
    <w:p w14:paraId="4910522A" w14:textId="7CC60D2D" w:rsidR="00F32AFC" w:rsidRPr="00F32AFC" w:rsidRDefault="00F32AFC" w:rsidP="00FA2CE2">
      <w:pPr>
        <w:spacing w:after="0" w:line="360" w:lineRule="auto"/>
        <w:jc w:val="both"/>
      </w:pPr>
      <w:r w:rsidRPr="00F32AFC">
        <w:t>Tendrá la consideración de “</w:t>
      </w:r>
      <w:r w:rsidRPr="0015110F">
        <w:rPr>
          <w:b/>
          <w:bCs/>
        </w:rPr>
        <w:t>Parte</w:t>
      </w:r>
      <w:r>
        <w:t xml:space="preserve"> </w:t>
      </w:r>
      <w:r w:rsidRPr="00F32AFC">
        <w:rPr>
          <w:b/>
        </w:rPr>
        <w:t>Cedente</w:t>
      </w:r>
      <w:r w:rsidRPr="00F32AFC">
        <w:t>” cualquiera de las Partes cuando, dentro de los términos del presente Acuerdo, revele la Información Confidencial tal y como se define en la Estipulación 1 y “</w:t>
      </w:r>
      <w:r w:rsidRPr="00FA2CE2">
        <w:rPr>
          <w:b/>
          <w:bCs/>
        </w:rPr>
        <w:t xml:space="preserve">Parte </w:t>
      </w:r>
      <w:r w:rsidRPr="00F32AFC">
        <w:rPr>
          <w:b/>
          <w:bCs/>
        </w:rPr>
        <w:t>R</w:t>
      </w:r>
      <w:r w:rsidRPr="00F32AFC">
        <w:rPr>
          <w:b/>
        </w:rPr>
        <w:t>eceptor</w:t>
      </w:r>
      <w:r>
        <w:rPr>
          <w:b/>
        </w:rPr>
        <w:t>a</w:t>
      </w:r>
      <w:r w:rsidRPr="00F32AFC">
        <w:t xml:space="preserve">” cualquiera de las Partes cuando, dentro de los términos del presente Acuerdo, sea ella quien reciba la Información Confidencial de la otra Parte. </w:t>
      </w:r>
    </w:p>
    <w:p w14:paraId="122CFAA4" w14:textId="77777777" w:rsidR="00F32AFC" w:rsidRPr="00F32AFC" w:rsidRDefault="00F32AFC" w:rsidP="00FA2CE2">
      <w:pPr>
        <w:spacing w:after="0" w:line="360" w:lineRule="auto"/>
        <w:jc w:val="both"/>
      </w:pPr>
    </w:p>
    <w:p w14:paraId="62980FD6" w14:textId="54F46604" w:rsidR="00F32AFC" w:rsidRDefault="00F32AFC" w:rsidP="00F32AFC">
      <w:pPr>
        <w:spacing w:after="0" w:line="360" w:lineRule="auto"/>
        <w:jc w:val="both"/>
      </w:pPr>
      <w:r w:rsidRPr="00F32AFC">
        <w:t xml:space="preserve">Ambas </w:t>
      </w:r>
      <w:r>
        <w:t>P</w:t>
      </w:r>
      <w:r w:rsidRPr="00F32AFC">
        <w:t>artes, se reconocen capacidad legal suficiente para contratar y obligarse, y en particular, para la conclusión del presente Acuerdo, del que como antecedentes</w:t>
      </w:r>
    </w:p>
    <w:p w14:paraId="4C64BD44" w14:textId="5D6F4E76" w:rsidR="00F32AFC" w:rsidRDefault="00F32AFC" w:rsidP="00F32AFC">
      <w:pPr>
        <w:spacing w:after="0" w:line="360" w:lineRule="auto"/>
        <w:jc w:val="both"/>
      </w:pPr>
    </w:p>
    <w:p w14:paraId="1221E501" w14:textId="4E028AA5" w:rsidR="00F32AFC" w:rsidRPr="003A25E2" w:rsidRDefault="00F32AFC" w:rsidP="00FA2CE2">
      <w:pPr>
        <w:spacing w:after="0" w:line="360" w:lineRule="auto"/>
        <w:jc w:val="center"/>
        <w:rPr>
          <w:b/>
          <w:bCs/>
          <w:u w:val="single"/>
        </w:rPr>
      </w:pPr>
      <w:r w:rsidRPr="003A25E2">
        <w:rPr>
          <w:b/>
          <w:bCs/>
          <w:u w:val="single"/>
        </w:rPr>
        <w:t>MANIFIESTAN</w:t>
      </w:r>
    </w:p>
    <w:p w14:paraId="24D32974" w14:textId="77777777" w:rsidR="0027616D" w:rsidRDefault="0027616D" w:rsidP="00FA2CE2">
      <w:pPr>
        <w:spacing w:after="0" w:line="360" w:lineRule="auto"/>
        <w:jc w:val="both"/>
      </w:pPr>
    </w:p>
    <w:p w14:paraId="1F339BE9" w14:textId="0F2C04DA" w:rsidR="00646468" w:rsidRDefault="00AC009E" w:rsidP="002D135F">
      <w:pPr>
        <w:pStyle w:val="Prrafodelista"/>
        <w:numPr>
          <w:ilvl w:val="0"/>
          <w:numId w:val="4"/>
        </w:numPr>
        <w:ind w:left="567" w:hanging="567"/>
        <w:jc w:val="both"/>
      </w:pPr>
      <w:bookmarkStart w:id="2" w:name="_Hlk139281469"/>
      <w:r w:rsidRPr="00401B87">
        <w:t>E</w:t>
      </w:r>
      <w:r>
        <w:t>nagás</w:t>
      </w:r>
      <w:r w:rsidR="002E292E" w:rsidRPr="00401B87">
        <w:t xml:space="preserve"> y </w:t>
      </w:r>
      <w:bookmarkStart w:id="3" w:name="_Hlk139197206"/>
      <w:r w:rsidR="00F32AFC">
        <w:t>la Sociedad</w:t>
      </w:r>
      <w:bookmarkEnd w:id="3"/>
      <w:r w:rsidR="00646468" w:rsidRPr="00646468">
        <w:t xml:space="preserve"> intercambiarán cierta información y materiales en el marco de la </w:t>
      </w:r>
      <w:r w:rsidR="00646468" w:rsidRPr="00646468">
        <w:rPr>
          <w:i/>
          <w:iCs/>
        </w:rPr>
        <w:t>Manifestación de Interés</w:t>
      </w:r>
      <w:r w:rsidR="00646468" w:rsidRPr="00646468">
        <w:t xml:space="preserve"> (“</w:t>
      </w:r>
      <w:r w:rsidR="00646468" w:rsidRPr="00646468">
        <w:rPr>
          <w:b/>
          <w:bCs/>
          <w:i/>
          <w:iCs/>
        </w:rPr>
        <w:t>MDI</w:t>
      </w:r>
      <w:r w:rsidR="00646468" w:rsidRPr="00646468">
        <w:t xml:space="preserve">”) iniciada por </w:t>
      </w:r>
      <w:r w:rsidRPr="00646468">
        <w:t>Enagás</w:t>
      </w:r>
      <w:r w:rsidR="00646468" w:rsidRPr="00646468">
        <w:t xml:space="preserve"> para el proyecto “</w:t>
      </w:r>
      <w:r w:rsidR="00F32AFC" w:rsidRPr="00FA2CE2">
        <w:rPr>
          <w:i/>
          <w:iCs/>
        </w:rPr>
        <w:t xml:space="preserve">Consulta al mercado para el desarrollo de una red de </w:t>
      </w:r>
      <w:r w:rsidR="002D135F" w:rsidRPr="002D135F">
        <w:rPr>
          <w:i/>
          <w:iCs/>
        </w:rPr>
        <w:t>hidrógeno renovable</w:t>
      </w:r>
      <w:r w:rsidR="00646468" w:rsidRPr="00646468">
        <w:rPr>
          <w:i/>
          <w:iCs/>
        </w:rPr>
        <w:t xml:space="preserve">” </w:t>
      </w:r>
      <w:r w:rsidR="00646468" w:rsidRPr="00646468">
        <w:t>(el “</w:t>
      </w:r>
      <w:r w:rsidR="00646468" w:rsidRPr="00646468">
        <w:rPr>
          <w:b/>
          <w:bCs/>
          <w:i/>
          <w:iCs/>
        </w:rPr>
        <w:t>Proyecto</w:t>
      </w:r>
      <w:r w:rsidR="00646468" w:rsidRPr="00646468">
        <w:t xml:space="preserve">”), </w:t>
      </w:r>
      <w:r w:rsidR="00225FD0">
        <w:t xml:space="preserve">así </w:t>
      </w:r>
      <w:r w:rsidR="00225FD0">
        <w:lastRenderedPageBreak/>
        <w:t xml:space="preserve">como en relación con un eventual </w:t>
      </w:r>
      <w:r w:rsidR="00FF7978">
        <w:t xml:space="preserve">proceso de </w:t>
      </w:r>
      <w:bookmarkStart w:id="4" w:name="_Hlk146187383"/>
      <w:r w:rsidR="00225FD0">
        <w:t xml:space="preserve">Open </w:t>
      </w:r>
      <w:proofErr w:type="spellStart"/>
      <w:r w:rsidR="00225FD0">
        <w:t>Season</w:t>
      </w:r>
      <w:proofErr w:type="spellEnd"/>
      <w:r w:rsidR="00225FD0">
        <w:t xml:space="preserve"> posterior</w:t>
      </w:r>
      <w:r w:rsidR="00FF7978">
        <w:t xml:space="preserve"> </w:t>
      </w:r>
      <w:bookmarkEnd w:id="4"/>
      <w:r w:rsidR="00FF7978">
        <w:t>(incluyendo sus fases no vinculante y vinculante)</w:t>
      </w:r>
      <w:r w:rsidR="00225FD0">
        <w:t xml:space="preserve">, </w:t>
      </w:r>
      <w:r w:rsidR="00646468" w:rsidRPr="00646468">
        <w:t xml:space="preserve">y a la que ha sido invitada a participar la Sociedad. </w:t>
      </w:r>
    </w:p>
    <w:p w14:paraId="08F19934" w14:textId="77777777" w:rsidR="00FF7978" w:rsidRDefault="00FF7978" w:rsidP="000841B1">
      <w:pPr>
        <w:pStyle w:val="Prrafodelista"/>
        <w:ind w:left="567"/>
        <w:jc w:val="both"/>
      </w:pPr>
    </w:p>
    <w:p w14:paraId="0762328C" w14:textId="60464CCB" w:rsidR="002D135F" w:rsidRDefault="002D135F" w:rsidP="000841B1">
      <w:pPr>
        <w:pStyle w:val="Prrafodelista"/>
        <w:numPr>
          <w:ilvl w:val="0"/>
          <w:numId w:val="4"/>
        </w:numPr>
        <w:ind w:left="567" w:hanging="567"/>
        <w:jc w:val="both"/>
      </w:pPr>
      <w:r>
        <w:t>A fin de garantizar la confidencialidad de la citada información y materiales, las Partes celebran el presente acuerdo de confidencialidad (el “</w:t>
      </w:r>
      <w:r w:rsidRPr="00FF7978">
        <w:rPr>
          <w:b/>
          <w:bCs/>
        </w:rPr>
        <w:t>Acuerdo</w:t>
      </w:r>
      <w:r>
        <w:t>") conforme a las siguientes:</w:t>
      </w:r>
    </w:p>
    <w:p w14:paraId="43DCDF05" w14:textId="52B555FF" w:rsidR="002D135F" w:rsidRPr="00FA2CE2" w:rsidRDefault="002D135F" w:rsidP="00FA2CE2">
      <w:pPr>
        <w:pStyle w:val="Prrafodelista"/>
        <w:ind w:left="0"/>
        <w:jc w:val="center"/>
        <w:rPr>
          <w:b/>
          <w:bCs/>
          <w:u w:val="single"/>
        </w:rPr>
      </w:pPr>
      <w:r w:rsidRPr="00FA2CE2">
        <w:rPr>
          <w:b/>
          <w:bCs/>
          <w:u w:val="single"/>
        </w:rPr>
        <w:t>ESTIPULACIONES</w:t>
      </w:r>
    </w:p>
    <w:bookmarkEnd w:id="2"/>
    <w:p w14:paraId="77943BAA" w14:textId="0CC1D0B0" w:rsidR="00C20B20" w:rsidRPr="00401B87" w:rsidRDefault="00C20B20" w:rsidP="00FA2CE2">
      <w:pPr>
        <w:pStyle w:val="Prrafodelista"/>
        <w:ind w:left="0"/>
        <w:jc w:val="center"/>
      </w:pPr>
    </w:p>
    <w:p w14:paraId="026FA105" w14:textId="769CDAC9" w:rsidR="00C20B20" w:rsidRPr="00401B87" w:rsidRDefault="002A420B" w:rsidP="002A420B">
      <w:pPr>
        <w:pStyle w:val="Prrafodelista"/>
        <w:numPr>
          <w:ilvl w:val="0"/>
          <w:numId w:val="1"/>
        </w:numPr>
        <w:spacing w:after="0" w:line="360" w:lineRule="auto"/>
        <w:jc w:val="both"/>
        <w:rPr>
          <w:rFonts w:cs="Times New Roman"/>
        </w:rPr>
      </w:pPr>
      <w:r w:rsidRPr="00401B87">
        <w:rPr>
          <w:rFonts w:cs="Times New Roman"/>
        </w:rPr>
        <w:t>Las Partes se comprometen a no revelar a terceros información confidencial que puedan recibir de la otra Parte, y a dar a dicha información el mismo tratamiento que le darían a su propia información confidencial. Se entenderá como “</w:t>
      </w:r>
      <w:r w:rsidRPr="00401B87">
        <w:rPr>
          <w:rFonts w:cs="Times New Roman"/>
          <w:b/>
          <w:bCs/>
          <w:i/>
          <w:iCs/>
        </w:rPr>
        <w:t>Información Confidencial</w:t>
      </w:r>
      <w:r w:rsidRPr="00401B87">
        <w:rPr>
          <w:rFonts w:cs="Times New Roman"/>
        </w:rPr>
        <w:t xml:space="preserve">” todos los datos, informaciones, </w:t>
      </w:r>
      <w:r w:rsidR="002D135F">
        <w:rPr>
          <w:rFonts w:cs="Times New Roman"/>
        </w:rPr>
        <w:t xml:space="preserve">precios, </w:t>
      </w:r>
      <w:r w:rsidRPr="00401B87">
        <w:rPr>
          <w:rFonts w:cs="Times New Roman"/>
        </w:rPr>
        <w:t>manifestaciones o conocimientos de contenido financiero, tributario, legal, técnico, operativo y de gestión, patentes, derechos de autor, secretos comerciales, know-how, planificaciones estratégicas de precios, fórmulas económicas, requisitos de contratación, listados de proveedores y clientes, modelos, bocetos, dibujos, procesos de organización, algoritmos, programas y documentos fuente de software, diseños de productos, etc., que sean obtenidos o elaborados por cualquier de las Partes o por sus respectivos Representantes, tal y como estos se definen en la Estipulación 2 y que se den a conocer a la otra con motivo o a propósito del Proyecto, bien sea de forma oral o escrita o mediante cualquier soporte electrónico o magnético o de cualquier otro tipo (en adelante, “</w:t>
      </w:r>
      <w:r w:rsidRPr="00401B87">
        <w:rPr>
          <w:rFonts w:cs="Times New Roman"/>
          <w:b/>
          <w:bCs/>
          <w:i/>
          <w:iCs/>
        </w:rPr>
        <w:t>Información Confidencial</w:t>
      </w:r>
      <w:r w:rsidRPr="00401B87">
        <w:rPr>
          <w:rFonts w:cs="Times New Roman"/>
        </w:rPr>
        <w:t xml:space="preserve">”). </w:t>
      </w:r>
    </w:p>
    <w:p w14:paraId="03C818D4" w14:textId="2E6D3B82" w:rsidR="002A420B" w:rsidRPr="00401B87" w:rsidRDefault="002A420B" w:rsidP="00F51014">
      <w:pPr>
        <w:pStyle w:val="Prrafodelista"/>
        <w:spacing w:after="0" w:line="360" w:lineRule="auto"/>
        <w:jc w:val="both"/>
        <w:rPr>
          <w:rFonts w:cs="Times New Roman"/>
        </w:rPr>
      </w:pPr>
    </w:p>
    <w:p w14:paraId="1B27C459" w14:textId="3739AC54" w:rsidR="00FF6842" w:rsidRDefault="002A420B" w:rsidP="005D48F5">
      <w:pPr>
        <w:pStyle w:val="Prrafodelista"/>
        <w:spacing w:after="0" w:line="360" w:lineRule="auto"/>
        <w:jc w:val="both"/>
        <w:rPr>
          <w:rFonts w:cs="Times New Roman"/>
        </w:rPr>
      </w:pPr>
      <w:r w:rsidRPr="00401B87">
        <w:rPr>
          <w:rFonts w:cs="Times New Roman"/>
        </w:rPr>
        <w:t>Asimismo</w:t>
      </w:r>
      <w:r w:rsidR="000244FB">
        <w:rPr>
          <w:rFonts w:cs="Times New Roman"/>
        </w:rPr>
        <w:t>,</w:t>
      </w:r>
      <w:r w:rsidRPr="00401B87">
        <w:rPr>
          <w:rFonts w:cs="Times New Roman"/>
        </w:rPr>
        <w:t xml:space="preserve"> se considerará como Información Confidencial todos los análisis, informes, recopilaciones, previsiones, estudios, resúmenes, memorandos o cualesquiera otros datos, informaciones, documentos o materiales preparados por las Partes o sus Representantes que contengan, reflejen o se hayan elaborado a partir de la información descrita en el apartado anterior, incluyendo la que se revele con ocasión de las negociaciones que se mantengan por las Partes. </w:t>
      </w:r>
      <w:bookmarkStart w:id="5" w:name="_Hlk139281712"/>
    </w:p>
    <w:p w14:paraId="3A94ED8E" w14:textId="68475FCE" w:rsidR="008E5549" w:rsidRDefault="008E5549" w:rsidP="005D48F5">
      <w:pPr>
        <w:pStyle w:val="Prrafodelista"/>
        <w:spacing w:after="0" w:line="360" w:lineRule="auto"/>
        <w:jc w:val="both"/>
        <w:rPr>
          <w:rFonts w:cs="Times New Roman"/>
        </w:rPr>
      </w:pPr>
    </w:p>
    <w:p w14:paraId="4DEB2998" w14:textId="77777777" w:rsidR="008E5549" w:rsidRDefault="008E5549" w:rsidP="008E5549">
      <w:pPr>
        <w:pStyle w:val="Prrafodelista"/>
        <w:spacing w:after="0" w:line="360" w:lineRule="auto"/>
        <w:jc w:val="both"/>
        <w:rPr>
          <w:rFonts w:cs="Times New Roman"/>
        </w:rPr>
      </w:pPr>
      <w:r>
        <w:rPr>
          <w:rFonts w:cs="Times New Roman"/>
        </w:rPr>
        <w:t xml:space="preserve">No </w:t>
      </w:r>
      <w:proofErr w:type="gramStart"/>
      <w:r>
        <w:rPr>
          <w:rFonts w:cs="Times New Roman"/>
        </w:rPr>
        <w:t>obstante</w:t>
      </w:r>
      <w:proofErr w:type="gramEnd"/>
      <w:r>
        <w:rPr>
          <w:rFonts w:cs="Times New Roman"/>
        </w:rPr>
        <w:t xml:space="preserve"> la definición de Información Confidencial, la Parte Cedente reconoce y acepta que Enagás pueda publicar información, datos, resúmenes o resultados de la MDI y/o de la </w:t>
      </w:r>
      <w:r w:rsidRPr="00FB17FC">
        <w:rPr>
          <w:rFonts w:cs="Times New Roman"/>
        </w:rPr>
        <w:t xml:space="preserve">Open </w:t>
      </w:r>
      <w:proofErr w:type="spellStart"/>
      <w:r w:rsidRPr="00FB17FC">
        <w:rPr>
          <w:rFonts w:cs="Times New Roman"/>
        </w:rPr>
        <w:t>Season</w:t>
      </w:r>
      <w:proofErr w:type="spellEnd"/>
      <w:r w:rsidRPr="00FB17FC">
        <w:rPr>
          <w:rFonts w:cs="Times New Roman"/>
        </w:rPr>
        <w:t xml:space="preserve"> posterior</w:t>
      </w:r>
      <w:r>
        <w:rPr>
          <w:rFonts w:cs="Times New Roman"/>
        </w:rPr>
        <w:t xml:space="preserve"> de manera anonimizada y/o de manera agregada global o por ejes o zonas geográficas, por categorías de sujetos interesados o por usos </w:t>
      </w:r>
      <w:r>
        <w:rPr>
          <w:rFonts w:cs="Times New Roman"/>
        </w:rPr>
        <w:lastRenderedPageBreak/>
        <w:t>o tipos de productos, entre otros supuestos, que no permitan identificar a la Parte Cedente.</w:t>
      </w:r>
      <w:r w:rsidRPr="008E5549">
        <w:t xml:space="preserve"> </w:t>
      </w:r>
      <w:r>
        <w:t xml:space="preserve">Dicha publicación no supondrá un </w:t>
      </w:r>
      <w:r w:rsidRPr="008E5549">
        <w:rPr>
          <w:rFonts w:cs="Times New Roman"/>
        </w:rPr>
        <w:t>incumpl</w:t>
      </w:r>
      <w:r>
        <w:rPr>
          <w:rFonts w:cs="Times New Roman"/>
        </w:rPr>
        <w:t>imiento</w:t>
      </w:r>
      <w:r w:rsidRPr="008E5549">
        <w:rPr>
          <w:rFonts w:cs="Times New Roman"/>
        </w:rPr>
        <w:t xml:space="preserve"> </w:t>
      </w:r>
      <w:r>
        <w:rPr>
          <w:rFonts w:cs="Times New Roman"/>
        </w:rPr>
        <w:t xml:space="preserve">de las obligaciones de Enagás bajo este </w:t>
      </w:r>
      <w:r w:rsidRPr="008E5549">
        <w:rPr>
          <w:rFonts w:cs="Times New Roman"/>
        </w:rPr>
        <w:t xml:space="preserve">Acuerdo, </w:t>
      </w:r>
      <w:r>
        <w:rPr>
          <w:rFonts w:cs="Times New Roman"/>
        </w:rPr>
        <w:t>quedando excluida de toda responsabilidad.</w:t>
      </w:r>
    </w:p>
    <w:p w14:paraId="5BA0A3D8" w14:textId="77777777" w:rsidR="00FF6842" w:rsidRPr="008E5549" w:rsidRDefault="00FF6842" w:rsidP="008E5549">
      <w:pPr>
        <w:spacing w:after="0" w:line="360" w:lineRule="auto"/>
        <w:jc w:val="both"/>
        <w:rPr>
          <w:rFonts w:cs="Times New Roman"/>
        </w:rPr>
      </w:pPr>
    </w:p>
    <w:p w14:paraId="78BB2D4C" w14:textId="1C10742C" w:rsidR="002433B8" w:rsidRPr="00401B87" w:rsidRDefault="008E5549" w:rsidP="005D48F5">
      <w:pPr>
        <w:pStyle w:val="Prrafodelista"/>
        <w:spacing w:after="0" w:line="360" w:lineRule="auto"/>
        <w:jc w:val="both"/>
        <w:rPr>
          <w:rFonts w:cs="Times New Roman"/>
        </w:rPr>
      </w:pPr>
      <w:r>
        <w:rPr>
          <w:rFonts w:cs="Times New Roman"/>
        </w:rPr>
        <w:t>Asimismo, la</w:t>
      </w:r>
      <w:r w:rsidR="005D48F5" w:rsidRPr="00FA2CE2">
        <w:rPr>
          <w:rFonts w:cs="Times New Roman"/>
        </w:rPr>
        <w:t xml:space="preserve"> definición </w:t>
      </w:r>
      <w:r>
        <w:rPr>
          <w:rFonts w:cs="Times New Roman"/>
        </w:rPr>
        <w:t xml:space="preserve">de Información Confidencial </w:t>
      </w:r>
      <w:r w:rsidR="005D48F5" w:rsidRPr="00FA2CE2">
        <w:rPr>
          <w:rFonts w:cs="Times New Roman"/>
        </w:rPr>
        <w:t xml:space="preserve">no impedirá la aplicación de las normas vinculantes pertinentes relativas a la confidencialidad de la información sensible </w:t>
      </w:r>
      <w:r w:rsidR="00FF6842" w:rsidRPr="00FF6842">
        <w:rPr>
          <w:rFonts w:cs="Times New Roman"/>
        </w:rPr>
        <w:t xml:space="preserve">a efectos </w:t>
      </w:r>
      <w:r w:rsidR="00FF6842">
        <w:rPr>
          <w:rFonts w:cs="Times New Roman"/>
        </w:rPr>
        <w:t>comerciales y a la obligación de no</w:t>
      </w:r>
      <w:r w:rsidR="00FF6842" w:rsidRPr="00FF6842">
        <w:rPr>
          <w:rFonts w:cs="Times New Roman"/>
        </w:rPr>
        <w:t xml:space="preserve"> revel</w:t>
      </w:r>
      <w:r w:rsidR="00FF6842">
        <w:rPr>
          <w:rFonts w:cs="Times New Roman"/>
        </w:rPr>
        <w:t>ar</w:t>
      </w:r>
      <w:r w:rsidR="00FF6842" w:rsidRPr="00FF6842">
        <w:rPr>
          <w:rFonts w:cs="Times New Roman"/>
        </w:rPr>
        <w:t xml:space="preserve"> información confidencial sobre sus propias actividades de forma discriminatoria que pueda suponer alguna ventaja comercial</w:t>
      </w:r>
      <w:r w:rsidR="00FF6842">
        <w:rPr>
          <w:rFonts w:cs="Times New Roman"/>
        </w:rPr>
        <w:t xml:space="preserve"> impuesta al gestor de red en virtud del artículo 68.d) de la </w:t>
      </w:r>
      <w:r w:rsidR="00FF6842" w:rsidRPr="00FF6842">
        <w:rPr>
          <w:rFonts w:cs="Times New Roman"/>
        </w:rPr>
        <w:t>Ley 34/1998, de 7 de octubre, del sector de hidrocarburos</w:t>
      </w:r>
      <w:r w:rsidR="00FF6842">
        <w:rPr>
          <w:rFonts w:cs="Times New Roman"/>
        </w:rPr>
        <w:t xml:space="preserve"> (en adelante, “</w:t>
      </w:r>
      <w:r w:rsidR="00FF6842" w:rsidRPr="00FA2CE2">
        <w:rPr>
          <w:rFonts w:cs="Times New Roman"/>
          <w:b/>
          <w:bCs/>
        </w:rPr>
        <w:t>LSH</w:t>
      </w:r>
      <w:r w:rsidR="00FF6842">
        <w:rPr>
          <w:rFonts w:cs="Times New Roman"/>
        </w:rPr>
        <w:t>”).</w:t>
      </w:r>
      <w:bookmarkEnd w:id="5"/>
    </w:p>
    <w:p w14:paraId="33C2B24A" w14:textId="77777777" w:rsidR="002433B8" w:rsidRPr="00401B87" w:rsidRDefault="002433B8" w:rsidP="005D48F5">
      <w:pPr>
        <w:pStyle w:val="Prrafodelista"/>
        <w:spacing w:after="0" w:line="360" w:lineRule="auto"/>
        <w:jc w:val="both"/>
        <w:rPr>
          <w:rFonts w:cs="Times New Roman"/>
        </w:rPr>
      </w:pPr>
    </w:p>
    <w:p w14:paraId="3A069325" w14:textId="18FDBE8C" w:rsidR="002433B8" w:rsidRPr="00401B87" w:rsidRDefault="002433B8" w:rsidP="005D48F5">
      <w:pPr>
        <w:pStyle w:val="Prrafodelista"/>
        <w:numPr>
          <w:ilvl w:val="0"/>
          <w:numId w:val="1"/>
        </w:numPr>
        <w:spacing w:after="0" w:line="360" w:lineRule="auto"/>
        <w:jc w:val="both"/>
        <w:rPr>
          <w:rFonts w:cs="Times New Roman"/>
        </w:rPr>
      </w:pPr>
      <w:r w:rsidRPr="00401B87">
        <w:rPr>
          <w:rFonts w:cs="Times New Roman"/>
        </w:rPr>
        <w:t xml:space="preserve">La Parte Receptora no divulgará la Información Confidencial sin el consentimiento previo por escrito de la Parte Cedente, excepto a sus directores, ejecutivos, empleados y </w:t>
      </w:r>
      <w:r w:rsidR="00FF6842">
        <w:rPr>
          <w:rFonts w:cs="Times New Roman"/>
        </w:rPr>
        <w:t>F</w:t>
      </w:r>
      <w:r w:rsidRPr="00401B87">
        <w:rPr>
          <w:rFonts w:cs="Times New Roman"/>
        </w:rPr>
        <w:t>iliales</w:t>
      </w:r>
      <w:r w:rsidR="00FF6842">
        <w:rPr>
          <w:rFonts w:cs="Times New Roman"/>
        </w:rPr>
        <w:t xml:space="preserve"> -tal y como dicho término se define en el párrafo siguiente-</w:t>
      </w:r>
      <w:r w:rsidRPr="00401B87">
        <w:rPr>
          <w:rFonts w:cs="Times New Roman"/>
        </w:rPr>
        <w:t>, así como a los representantes individuales, abogados, consultores y cada uno de sus respectivos directores individuales, ejecutivos y empleados, si los hubiere, a quienes la Parte Receptora desee divulgar dicha Información Confidencial con el fin de evaluar</w:t>
      </w:r>
      <w:r w:rsidR="00FF6842">
        <w:rPr>
          <w:rFonts w:cs="Times New Roman"/>
        </w:rPr>
        <w:t>la para</w:t>
      </w:r>
      <w:r w:rsidRPr="00401B87">
        <w:rPr>
          <w:rFonts w:cs="Times New Roman"/>
        </w:rPr>
        <w:t xml:space="preserve"> negociar o consumar </w:t>
      </w:r>
      <w:r w:rsidR="00FF6842">
        <w:rPr>
          <w:rFonts w:cs="Times New Roman"/>
        </w:rPr>
        <w:t>cualesquiera p</w:t>
      </w:r>
      <w:r w:rsidRPr="00401B87">
        <w:rPr>
          <w:rFonts w:cs="Times New Roman"/>
        </w:rPr>
        <w:t>royectos (aquellas personas a las que la Parte Receptora divulgue directa o indirectamente Información Confidencial se denominan colectivamente en el presente Acuerdo como los "</w:t>
      </w:r>
      <w:r w:rsidRPr="00401B87">
        <w:rPr>
          <w:rFonts w:cs="Times New Roman"/>
          <w:b/>
          <w:bCs/>
          <w:i/>
          <w:iCs/>
        </w:rPr>
        <w:t>Representantes</w:t>
      </w:r>
      <w:r w:rsidRPr="00401B87">
        <w:rPr>
          <w:rFonts w:cs="Times New Roman"/>
        </w:rPr>
        <w:t>"), siempre que la Parte Receptora informe a sus Representantes de la naturaleza confidencial de la información y la Parte Receptora será responsable del cumplimiento por parte de dichos Representantes de los términos de este Acuerdo.</w:t>
      </w:r>
    </w:p>
    <w:p w14:paraId="0BABB6C2" w14:textId="77777777" w:rsidR="002433B8" w:rsidRPr="00401B87" w:rsidRDefault="002433B8" w:rsidP="002433B8">
      <w:pPr>
        <w:pStyle w:val="Prrafodelista"/>
        <w:spacing w:after="0" w:line="360" w:lineRule="auto"/>
        <w:jc w:val="both"/>
        <w:rPr>
          <w:rFonts w:cs="Times New Roman"/>
        </w:rPr>
      </w:pPr>
    </w:p>
    <w:p w14:paraId="6CBA617D" w14:textId="26B86831" w:rsidR="002433B8" w:rsidRDefault="002433B8" w:rsidP="002433B8">
      <w:pPr>
        <w:pStyle w:val="Prrafodelista"/>
        <w:spacing w:after="0" w:line="360" w:lineRule="auto"/>
        <w:jc w:val="both"/>
        <w:rPr>
          <w:rFonts w:cs="Times New Roman"/>
        </w:rPr>
      </w:pPr>
      <w:r w:rsidRPr="00401B87">
        <w:rPr>
          <w:rFonts w:cs="Times New Roman"/>
        </w:rPr>
        <w:t xml:space="preserve">A los efectos de este Acuerdo, </w:t>
      </w:r>
      <w:bookmarkStart w:id="6" w:name="_Hlk139874259"/>
      <w:r w:rsidRPr="00401B87">
        <w:rPr>
          <w:rFonts w:cs="Times New Roman"/>
        </w:rPr>
        <w:t>“</w:t>
      </w:r>
      <w:r w:rsidRPr="00401B87">
        <w:rPr>
          <w:rFonts w:cs="Times New Roman"/>
          <w:b/>
          <w:bCs/>
          <w:i/>
          <w:iCs/>
        </w:rPr>
        <w:t>Filial</w:t>
      </w:r>
      <w:r w:rsidRPr="00401B87">
        <w:rPr>
          <w:rFonts w:cs="Times New Roman"/>
        </w:rPr>
        <w:t xml:space="preserve">” hace referencia a una entidad que, con respecto a una Parte, </w:t>
      </w:r>
      <w:r w:rsidRPr="00401B87">
        <w:rPr>
          <w:rFonts w:cs="Times New Roman"/>
          <w:b/>
          <w:bCs/>
        </w:rPr>
        <w:t>(i)</w:t>
      </w:r>
      <w:r w:rsidRPr="00401B87">
        <w:rPr>
          <w:rFonts w:cs="Times New Roman"/>
        </w:rPr>
        <w:t xml:space="preserve"> la controle directa o indirectamente; </w:t>
      </w:r>
      <w:r w:rsidRPr="00401B87">
        <w:rPr>
          <w:rFonts w:cs="Times New Roman"/>
          <w:b/>
          <w:bCs/>
        </w:rPr>
        <w:t>(</w:t>
      </w:r>
      <w:proofErr w:type="spellStart"/>
      <w:r w:rsidRPr="00401B87">
        <w:rPr>
          <w:rFonts w:cs="Times New Roman"/>
          <w:b/>
          <w:bCs/>
        </w:rPr>
        <w:t>ii</w:t>
      </w:r>
      <w:proofErr w:type="spellEnd"/>
      <w:r w:rsidRPr="00401B87">
        <w:rPr>
          <w:rFonts w:cs="Times New Roman"/>
          <w:b/>
          <w:bCs/>
        </w:rPr>
        <w:t>)</w:t>
      </w:r>
      <w:r w:rsidRPr="00401B87">
        <w:rPr>
          <w:rFonts w:cs="Times New Roman"/>
        </w:rPr>
        <w:t xml:space="preserve"> esté bajo la misma propiedad o control directo o indirecto</w:t>
      </w:r>
      <w:bookmarkEnd w:id="6"/>
      <w:r w:rsidRPr="00401B87">
        <w:rPr>
          <w:rFonts w:cs="Times New Roman"/>
        </w:rPr>
        <w:t xml:space="preserve">; o </w:t>
      </w:r>
      <w:r w:rsidRPr="00401B87">
        <w:rPr>
          <w:rFonts w:cs="Times New Roman"/>
          <w:b/>
          <w:bCs/>
        </w:rPr>
        <w:t>(</w:t>
      </w:r>
      <w:proofErr w:type="spellStart"/>
      <w:r w:rsidRPr="00401B87">
        <w:rPr>
          <w:rFonts w:cs="Times New Roman"/>
          <w:b/>
          <w:bCs/>
        </w:rPr>
        <w:t>iii</w:t>
      </w:r>
      <w:proofErr w:type="spellEnd"/>
      <w:r w:rsidRPr="00401B87">
        <w:rPr>
          <w:rFonts w:cs="Times New Roman"/>
          <w:b/>
          <w:bCs/>
        </w:rPr>
        <w:t>),</w:t>
      </w:r>
      <w:r w:rsidRPr="00401B87">
        <w:rPr>
          <w:rFonts w:cs="Times New Roman"/>
        </w:rPr>
        <w:t xml:space="preserve"> que esté directa o indirectamente controlada por dicha Parte. A estos efectos, se entenderá por “</w:t>
      </w:r>
      <w:r w:rsidRPr="00401B87">
        <w:rPr>
          <w:rFonts w:cs="Times New Roman"/>
          <w:b/>
          <w:bCs/>
          <w:i/>
          <w:iCs/>
        </w:rPr>
        <w:t>Control</w:t>
      </w:r>
      <w:r w:rsidRPr="00401B87">
        <w:rPr>
          <w:rFonts w:cs="Times New Roman"/>
        </w:rPr>
        <w:t xml:space="preserve">” </w:t>
      </w:r>
      <w:r w:rsidRPr="00401B87">
        <w:rPr>
          <w:rFonts w:cs="Times New Roman"/>
          <w:b/>
          <w:bCs/>
        </w:rPr>
        <w:t>(i)</w:t>
      </w:r>
      <w:r w:rsidRPr="00401B87">
        <w:rPr>
          <w:rFonts w:cs="Times New Roman"/>
        </w:rPr>
        <w:t xml:space="preserve"> el derecho a ejercer el derecho de voto de al menos el 50% del capital social en las votaciones realizadas en las Juntas Generales de Accionistas, </w:t>
      </w:r>
      <w:r w:rsidRPr="00401B87">
        <w:rPr>
          <w:rFonts w:cs="Times New Roman"/>
          <w:b/>
          <w:bCs/>
        </w:rPr>
        <w:t>(</w:t>
      </w:r>
      <w:proofErr w:type="spellStart"/>
      <w:r w:rsidRPr="00401B87">
        <w:rPr>
          <w:rFonts w:cs="Times New Roman"/>
          <w:b/>
          <w:bCs/>
        </w:rPr>
        <w:t>ii</w:t>
      </w:r>
      <w:proofErr w:type="spellEnd"/>
      <w:r w:rsidRPr="00401B87">
        <w:rPr>
          <w:rFonts w:cs="Times New Roman"/>
          <w:b/>
          <w:bCs/>
        </w:rPr>
        <w:t>)</w:t>
      </w:r>
      <w:r w:rsidRPr="00401B87">
        <w:rPr>
          <w:rFonts w:cs="Times New Roman"/>
        </w:rPr>
        <w:t xml:space="preserve"> el derecho a designar a la mayoría de los miembros del órgano de gobierno, o </w:t>
      </w:r>
      <w:r w:rsidRPr="00401B87">
        <w:rPr>
          <w:rFonts w:cs="Times New Roman"/>
          <w:b/>
          <w:bCs/>
        </w:rPr>
        <w:t>(</w:t>
      </w:r>
      <w:proofErr w:type="spellStart"/>
      <w:r w:rsidRPr="00401B87">
        <w:rPr>
          <w:rFonts w:cs="Times New Roman"/>
          <w:b/>
          <w:bCs/>
        </w:rPr>
        <w:t>iii</w:t>
      </w:r>
      <w:proofErr w:type="spellEnd"/>
      <w:r w:rsidRPr="00401B87">
        <w:rPr>
          <w:rFonts w:cs="Times New Roman"/>
          <w:b/>
          <w:bCs/>
        </w:rPr>
        <w:t>)</w:t>
      </w:r>
      <w:r w:rsidRPr="00401B87">
        <w:rPr>
          <w:rFonts w:cs="Times New Roman"/>
        </w:rPr>
        <w:t xml:space="preserve"> tener una influencia significativa sobre una sociedad.</w:t>
      </w:r>
    </w:p>
    <w:p w14:paraId="0B81E50A" w14:textId="114355CB" w:rsidR="00225FD0" w:rsidRDefault="00225FD0" w:rsidP="002433B8">
      <w:pPr>
        <w:pStyle w:val="Prrafodelista"/>
        <w:spacing w:after="0" w:line="360" w:lineRule="auto"/>
        <w:jc w:val="both"/>
        <w:rPr>
          <w:rFonts w:cs="Times New Roman"/>
        </w:rPr>
      </w:pPr>
    </w:p>
    <w:p w14:paraId="5F3EFA4D" w14:textId="74961577" w:rsidR="00225FD0" w:rsidRDefault="00225FD0" w:rsidP="002433B8">
      <w:pPr>
        <w:pStyle w:val="Prrafodelista"/>
        <w:spacing w:after="0" w:line="360" w:lineRule="auto"/>
        <w:jc w:val="both"/>
        <w:rPr>
          <w:rFonts w:cs="Times New Roman"/>
        </w:rPr>
      </w:pPr>
      <w:r>
        <w:rPr>
          <w:rFonts w:cs="Times New Roman"/>
        </w:rPr>
        <w:t xml:space="preserve">No obstante, en el caso de Enagás, se entenderá por </w:t>
      </w:r>
      <w:r w:rsidRPr="00225FD0">
        <w:rPr>
          <w:rFonts w:cs="Times New Roman"/>
        </w:rPr>
        <w:t>“</w:t>
      </w:r>
      <w:r w:rsidRPr="00225FD0">
        <w:rPr>
          <w:rFonts w:cs="Times New Roman"/>
          <w:b/>
          <w:bCs/>
          <w:i/>
          <w:iCs/>
        </w:rPr>
        <w:t>Filial</w:t>
      </w:r>
      <w:r w:rsidRPr="00225FD0">
        <w:rPr>
          <w:rFonts w:cs="Times New Roman"/>
        </w:rPr>
        <w:t xml:space="preserve">” </w:t>
      </w:r>
      <w:r w:rsidRPr="00225FD0">
        <w:rPr>
          <w:rFonts w:cs="Times New Roman"/>
          <w:b/>
          <w:bCs/>
        </w:rPr>
        <w:t>(i)</w:t>
      </w:r>
      <w:r w:rsidRPr="00225FD0">
        <w:rPr>
          <w:rFonts w:cs="Times New Roman"/>
        </w:rPr>
        <w:t xml:space="preserve"> </w:t>
      </w:r>
      <w:r>
        <w:rPr>
          <w:rFonts w:cs="Times New Roman"/>
        </w:rPr>
        <w:t xml:space="preserve">el socio único de </w:t>
      </w:r>
      <w:r w:rsidRPr="00225FD0">
        <w:rPr>
          <w:rFonts w:cs="Times New Roman"/>
        </w:rPr>
        <w:t>ENAGAS INFRAESTRUCTURAS DE HIDRÓGENO, S.L.</w:t>
      </w:r>
      <w:r w:rsidR="00BC37CE">
        <w:rPr>
          <w:rFonts w:cs="Times New Roman"/>
        </w:rPr>
        <w:t>U.</w:t>
      </w:r>
      <w:r w:rsidR="007D2D39">
        <w:rPr>
          <w:rFonts w:cs="Times New Roman"/>
        </w:rPr>
        <w:t>, esto es, Enag</w:t>
      </w:r>
      <w:r w:rsidR="00BC37CE">
        <w:rPr>
          <w:rFonts w:cs="Times New Roman"/>
        </w:rPr>
        <w:t>á</w:t>
      </w:r>
      <w:r w:rsidR="007D2D39">
        <w:rPr>
          <w:rFonts w:cs="Times New Roman"/>
        </w:rPr>
        <w:t>s, S.A.</w:t>
      </w:r>
      <w:r w:rsidRPr="00225FD0">
        <w:rPr>
          <w:rFonts w:cs="Times New Roman"/>
        </w:rPr>
        <w:t>;</w:t>
      </w:r>
      <w:r>
        <w:rPr>
          <w:rFonts w:cs="Times New Roman"/>
        </w:rPr>
        <w:t xml:space="preserve"> y</w:t>
      </w:r>
      <w:r w:rsidRPr="00225FD0">
        <w:rPr>
          <w:rFonts w:cs="Times New Roman"/>
        </w:rPr>
        <w:t xml:space="preserve"> </w:t>
      </w:r>
      <w:r w:rsidRPr="00225FD0">
        <w:rPr>
          <w:rFonts w:cs="Times New Roman"/>
          <w:b/>
          <w:bCs/>
        </w:rPr>
        <w:t>(</w:t>
      </w:r>
      <w:proofErr w:type="spellStart"/>
      <w:r w:rsidRPr="00225FD0">
        <w:rPr>
          <w:rFonts w:cs="Times New Roman"/>
          <w:b/>
          <w:bCs/>
        </w:rPr>
        <w:t>ii</w:t>
      </w:r>
      <w:proofErr w:type="spellEnd"/>
      <w:r w:rsidRPr="00225FD0">
        <w:rPr>
          <w:rFonts w:cs="Times New Roman"/>
          <w:b/>
          <w:bCs/>
        </w:rPr>
        <w:t>)</w:t>
      </w:r>
      <w:r w:rsidRPr="00225FD0">
        <w:rPr>
          <w:rFonts w:cs="Times New Roman"/>
        </w:rPr>
        <w:t xml:space="preserve"> </w:t>
      </w:r>
      <w:r>
        <w:rPr>
          <w:rFonts w:cs="Times New Roman"/>
        </w:rPr>
        <w:t xml:space="preserve">todas las entidades que están bajo la propiedad </w:t>
      </w:r>
      <w:r w:rsidR="007D2D39">
        <w:rPr>
          <w:rFonts w:cs="Times New Roman"/>
        </w:rPr>
        <w:t xml:space="preserve">de </w:t>
      </w:r>
      <w:r w:rsidR="00BC37CE">
        <w:rPr>
          <w:rFonts w:cs="Times New Roman"/>
        </w:rPr>
        <w:t>Enagás</w:t>
      </w:r>
      <w:r w:rsidR="007D2D39">
        <w:rPr>
          <w:rFonts w:cs="Times New Roman"/>
        </w:rPr>
        <w:t xml:space="preserve">, S.A., </w:t>
      </w:r>
      <w:r>
        <w:rPr>
          <w:rFonts w:cs="Times New Roman"/>
        </w:rPr>
        <w:t xml:space="preserve">con un 100% de </w:t>
      </w:r>
      <w:r>
        <w:rPr>
          <w:rFonts w:cs="Times New Roman"/>
        </w:rPr>
        <w:lastRenderedPageBreak/>
        <w:t>participación.</w:t>
      </w:r>
      <w:r w:rsidR="008E5549">
        <w:rPr>
          <w:rFonts w:cs="Times New Roman"/>
        </w:rPr>
        <w:t xml:space="preserve"> A los meros efectos aclaratorios, ENAGAS RENOVABLE, S.A. no tiene la consideración de Filial.</w:t>
      </w:r>
    </w:p>
    <w:p w14:paraId="10EE8A9A" w14:textId="77777777" w:rsidR="002433B8" w:rsidRPr="00401B87" w:rsidRDefault="002433B8" w:rsidP="002433B8">
      <w:pPr>
        <w:pStyle w:val="Prrafodelista"/>
        <w:spacing w:after="0" w:line="360" w:lineRule="auto"/>
        <w:jc w:val="both"/>
        <w:rPr>
          <w:rFonts w:cs="Times New Roman"/>
        </w:rPr>
      </w:pPr>
    </w:p>
    <w:p w14:paraId="1C211DFC" w14:textId="3D88112F" w:rsidR="002433B8" w:rsidRPr="00401B87" w:rsidRDefault="002433B8" w:rsidP="00193855">
      <w:pPr>
        <w:pStyle w:val="Prrafodelista"/>
        <w:numPr>
          <w:ilvl w:val="0"/>
          <w:numId w:val="1"/>
        </w:numPr>
        <w:spacing w:after="0" w:line="360" w:lineRule="auto"/>
        <w:jc w:val="both"/>
        <w:rPr>
          <w:rFonts w:cs="Times New Roman"/>
        </w:rPr>
      </w:pPr>
      <w:r w:rsidRPr="00401B87">
        <w:rPr>
          <w:rFonts w:cs="Times New Roman"/>
        </w:rPr>
        <w:t>La Parte Receptora se compromete a adoptar las medidas preventivas apropiadas y necesarias para mantener de manera confidencial la Información Confidencial de la otra Parte. Este deber incluirá la obligación de informar a los empleados que utilicen dicha información de su carácter confidencial y de que esta no puede ser revelada a terceros.</w:t>
      </w:r>
    </w:p>
    <w:p w14:paraId="2807FA3D" w14:textId="77777777" w:rsidR="002433B8" w:rsidRPr="00401B87" w:rsidRDefault="002433B8" w:rsidP="00193855">
      <w:pPr>
        <w:pStyle w:val="Prrafodelista"/>
        <w:spacing w:after="0" w:line="360" w:lineRule="auto"/>
        <w:jc w:val="both"/>
        <w:rPr>
          <w:rFonts w:cs="Times New Roman"/>
        </w:rPr>
      </w:pPr>
    </w:p>
    <w:p w14:paraId="770EB22A" w14:textId="44E5CB29" w:rsidR="002433B8" w:rsidRDefault="002433B8" w:rsidP="00B35DED">
      <w:pPr>
        <w:pStyle w:val="Prrafodelista"/>
        <w:numPr>
          <w:ilvl w:val="0"/>
          <w:numId w:val="1"/>
        </w:numPr>
        <w:spacing w:after="0" w:line="360" w:lineRule="auto"/>
        <w:jc w:val="both"/>
        <w:rPr>
          <w:rFonts w:cs="Times New Roman"/>
        </w:rPr>
      </w:pPr>
      <w:r w:rsidRPr="00401B87">
        <w:rPr>
          <w:rFonts w:cs="Times New Roman"/>
        </w:rPr>
        <w:t>La Parte Receptora acepta que la “Información Confidencial” recibida de la otra Parte es y será en todo momento propiedad de esta última, y que el presente documento no confiere, ni implícita ni expresamente, ningún tipo de derecho intelectual o de propiedad sobre dicha Información Confidencial.</w:t>
      </w:r>
    </w:p>
    <w:p w14:paraId="78565839" w14:textId="77777777" w:rsidR="00B35DED" w:rsidRPr="00B35DED" w:rsidRDefault="00B35DED" w:rsidP="00B35DED">
      <w:pPr>
        <w:pStyle w:val="Prrafodelista"/>
        <w:spacing w:after="0"/>
        <w:rPr>
          <w:rFonts w:cs="Times New Roman"/>
        </w:rPr>
      </w:pPr>
    </w:p>
    <w:p w14:paraId="29394792" w14:textId="3E35B553" w:rsidR="00D314E3" w:rsidRDefault="00B35DED" w:rsidP="00B35DED">
      <w:pPr>
        <w:pStyle w:val="Prrafodelista"/>
        <w:numPr>
          <w:ilvl w:val="0"/>
          <w:numId w:val="1"/>
        </w:numPr>
        <w:spacing w:after="0" w:line="360" w:lineRule="auto"/>
        <w:jc w:val="both"/>
        <w:rPr>
          <w:rFonts w:cs="Times New Roman"/>
        </w:rPr>
      </w:pPr>
      <w:r>
        <w:rPr>
          <w:rFonts w:cs="Times New Roman"/>
        </w:rPr>
        <w:t xml:space="preserve">Cada Parte representa que tiene derecho a divulgar y suministrar la </w:t>
      </w:r>
      <w:r w:rsidR="00A77EA6">
        <w:rPr>
          <w:rFonts w:cs="Times New Roman"/>
        </w:rPr>
        <w:t>I</w:t>
      </w:r>
      <w:r>
        <w:rPr>
          <w:rFonts w:cs="Times New Roman"/>
        </w:rPr>
        <w:t>nformación</w:t>
      </w:r>
      <w:r w:rsidR="00A77EA6">
        <w:rPr>
          <w:rFonts w:cs="Times New Roman"/>
        </w:rPr>
        <w:t xml:space="preserve"> Confidencial</w:t>
      </w:r>
      <w:r>
        <w:rPr>
          <w:rFonts w:cs="Times New Roman"/>
        </w:rPr>
        <w:t xml:space="preserve"> a la Parte Receptora para la M</w:t>
      </w:r>
      <w:r w:rsidR="008E5549">
        <w:rPr>
          <w:rFonts w:cs="Times New Roman"/>
        </w:rPr>
        <w:t xml:space="preserve">DI o la Open </w:t>
      </w:r>
      <w:proofErr w:type="spellStart"/>
      <w:r w:rsidR="008E5549">
        <w:rPr>
          <w:rFonts w:cs="Times New Roman"/>
        </w:rPr>
        <w:t>Season</w:t>
      </w:r>
      <w:proofErr w:type="spellEnd"/>
      <w:r w:rsidR="008E5549">
        <w:rPr>
          <w:rFonts w:cs="Times New Roman"/>
        </w:rPr>
        <w:t xml:space="preserve"> posterior</w:t>
      </w:r>
      <w:r>
        <w:rPr>
          <w:rFonts w:cs="Times New Roman"/>
        </w:rPr>
        <w:t xml:space="preserve">, salvo que se establezca lo contrario en esta Estipulación 5. La Parte Cedente no ofrece ninguna garantía en cuanto a la integridad, exactitud, idoneidad para cualquier fin en particular o cualquier uso de los resultados basados en esta </w:t>
      </w:r>
      <w:r w:rsidR="00A77EA6">
        <w:rPr>
          <w:rFonts w:cs="Times New Roman"/>
        </w:rPr>
        <w:t>I</w:t>
      </w:r>
      <w:r>
        <w:rPr>
          <w:rFonts w:cs="Times New Roman"/>
        </w:rPr>
        <w:t xml:space="preserve">nformación </w:t>
      </w:r>
      <w:r w:rsidR="00A77EA6">
        <w:rPr>
          <w:rFonts w:cs="Times New Roman"/>
        </w:rPr>
        <w:t>Confidencial</w:t>
      </w:r>
      <w:r>
        <w:rPr>
          <w:rFonts w:cs="Times New Roman"/>
        </w:rPr>
        <w:t xml:space="preserve">. </w:t>
      </w:r>
    </w:p>
    <w:p w14:paraId="157B83EF" w14:textId="77777777" w:rsidR="00D314E3" w:rsidRPr="00D314E3" w:rsidRDefault="00D314E3" w:rsidP="00D314E3">
      <w:pPr>
        <w:pStyle w:val="Prrafodelista"/>
        <w:rPr>
          <w:rFonts w:cs="Times New Roman"/>
        </w:rPr>
      </w:pPr>
    </w:p>
    <w:p w14:paraId="3EAFC647" w14:textId="4403BFF5" w:rsidR="00B35DED" w:rsidRPr="00401B87" w:rsidRDefault="00B35DED" w:rsidP="00D314E3">
      <w:pPr>
        <w:pStyle w:val="Prrafodelista"/>
        <w:spacing w:after="0" w:line="360" w:lineRule="auto"/>
        <w:jc w:val="both"/>
        <w:rPr>
          <w:rFonts w:cs="Times New Roman"/>
        </w:rPr>
      </w:pPr>
      <w:r w:rsidRPr="00B35DED">
        <w:rPr>
          <w:rFonts w:cs="Times New Roman"/>
        </w:rPr>
        <w:t xml:space="preserve">La Parte </w:t>
      </w:r>
      <w:r>
        <w:rPr>
          <w:rFonts w:cs="Times New Roman"/>
        </w:rPr>
        <w:t>Cedente</w:t>
      </w:r>
      <w:r w:rsidRPr="00B35DED">
        <w:rPr>
          <w:rFonts w:cs="Times New Roman"/>
        </w:rPr>
        <w:t xml:space="preserve"> se exime de toda responsabilidad por cualquier acción realizada por la Parte </w:t>
      </w:r>
      <w:r>
        <w:rPr>
          <w:rFonts w:cs="Times New Roman"/>
        </w:rPr>
        <w:t>Receptora</w:t>
      </w:r>
      <w:r w:rsidRPr="00B35DED">
        <w:rPr>
          <w:rFonts w:cs="Times New Roman"/>
        </w:rPr>
        <w:t xml:space="preserve"> sobre la base de su análisis u otro uso de la Información </w:t>
      </w:r>
      <w:r>
        <w:rPr>
          <w:rFonts w:cs="Times New Roman"/>
        </w:rPr>
        <w:t>C</w:t>
      </w:r>
      <w:r w:rsidRPr="00B35DED">
        <w:rPr>
          <w:rFonts w:cs="Times New Roman"/>
        </w:rPr>
        <w:t xml:space="preserve">onfidencial, incluidos, entre otros, cualquier </w:t>
      </w:r>
      <w:r w:rsidR="00A77EA6">
        <w:rPr>
          <w:rFonts w:cs="Times New Roman"/>
        </w:rPr>
        <w:t xml:space="preserve">inversión, </w:t>
      </w:r>
      <w:r w:rsidRPr="00B35DED">
        <w:rPr>
          <w:rFonts w:cs="Times New Roman"/>
        </w:rPr>
        <w:t xml:space="preserve">ajuste o modificación de los productos </w:t>
      </w:r>
      <w:r w:rsidR="00A77EA6">
        <w:rPr>
          <w:rFonts w:cs="Times New Roman"/>
        </w:rPr>
        <w:t xml:space="preserve">que produzca </w:t>
      </w:r>
      <w:r w:rsidRPr="00B35DED">
        <w:rPr>
          <w:rFonts w:cs="Times New Roman"/>
        </w:rPr>
        <w:t xml:space="preserve">y/o servicios </w:t>
      </w:r>
      <w:r w:rsidR="00A77EA6">
        <w:rPr>
          <w:rFonts w:cs="Times New Roman"/>
        </w:rPr>
        <w:t>que preste</w:t>
      </w:r>
      <w:r w:rsidRPr="00B35DED">
        <w:rPr>
          <w:rFonts w:cs="Times New Roman"/>
        </w:rPr>
        <w:t xml:space="preserve"> la Parte </w:t>
      </w:r>
      <w:r>
        <w:rPr>
          <w:rFonts w:cs="Times New Roman"/>
        </w:rPr>
        <w:t>R</w:t>
      </w:r>
      <w:r w:rsidRPr="00B35DED">
        <w:rPr>
          <w:rFonts w:cs="Times New Roman"/>
        </w:rPr>
        <w:t>eceptora a la luz de dicho uso de la Información</w:t>
      </w:r>
      <w:r w:rsidR="00A77EA6">
        <w:rPr>
          <w:rFonts w:cs="Times New Roman"/>
        </w:rPr>
        <w:t xml:space="preserve"> Confidencial</w:t>
      </w:r>
      <w:r w:rsidRPr="00B35DED">
        <w:rPr>
          <w:rFonts w:cs="Times New Roman"/>
        </w:rPr>
        <w:t xml:space="preserve">, y la Parte Receptora reconoce que la Parte </w:t>
      </w:r>
      <w:r w:rsidR="00D314E3">
        <w:rPr>
          <w:rFonts w:cs="Times New Roman"/>
        </w:rPr>
        <w:t xml:space="preserve">Cedente </w:t>
      </w:r>
      <w:r w:rsidRPr="00B35DED">
        <w:rPr>
          <w:rFonts w:cs="Times New Roman"/>
        </w:rPr>
        <w:t>no tendrá ninguna responsabilidad u obligación como resultado del uso de la Información Confidencial por parte de la Parte Receptora.</w:t>
      </w:r>
    </w:p>
    <w:p w14:paraId="09D5E31B" w14:textId="77777777" w:rsidR="002433B8" w:rsidRPr="00401B87" w:rsidRDefault="002433B8" w:rsidP="00193855">
      <w:pPr>
        <w:pStyle w:val="Prrafodelista"/>
        <w:spacing w:after="0" w:line="360" w:lineRule="auto"/>
        <w:rPr>
          <w:rFonts w:cs="Times New Roman"/>
        </w:rPr>
      </w:pPr>
    </w:p>
    <w:p w14:paraId="0D9DB671" w14:textId="77777777" w:rsidR="002433B8" w:rsidRPr="00401B87" w:rsidRDefault="002433B8" w:rsidP="00193855">
      <w:pPr>
        <w:pStyle w:val="Prrafodelista"/>
        <w:numPr>
          <w:ilvl w:val="0"/>
          <w:numId w:val="1"/>
        </w:numPr>
        <w:spacing w:after="0" w:line="360" w:lineRule="auto"/>
        <w:ind w:left="714" w:hanging="357"/>
        <w:jc w:val="both"/>
        <w:rPr>
          <w:rFonts w:cs="Times New Roman"/>
        </w:rPr>
      </w:pPr>
      <w:r w:rsidRPr="00401B87">
        <w:rPr>
          <w:rFonts w:cs="Times New Roman"/>
        </w:rPr>
        <w:t>Las Partes acuerdan que, en caso de que la Parte Receptora incumpla parcial o totalmente sus obligaciones en virtud del presente Acuerdo, será responsable de todos los daños causados a la Parte Cedente por el incumplimiento correspondiente.</w:t>
      </w:r>
    </w:p>
    <w:p w14:paraId="766CB6C8" w14:textId="77777777" w:rsidR="002433B8" w:rsidRPr="00401B87" w:rsidRDefault="002433B8" w:rsidP="00193855">
      <w:pPr>
        <w:pStyle w:val="Prrafodelista"/>
        <w:spacing w:after="0" w:line="360" w:lineRule="auto"/>
        <w:rPr>
          <w:rFonts w:cs="Times New Roman"/>
        </w:rPr>
      </w:pPr>
    </w:p>
    <w:p w14:paraId="10CF171E" w14:textId="503F01CA" w:rsidR="002433B8" w:rsidRDefault="002433B8" w:rsidP="00193855">
      <w:pPr>
        <w:pStyle w:val="Prrafodelista"/>
        <w:numPr>
          <w:ilvl w:val="0"/>
          <w:numId w:val="1"/>
        </w:numPr>
        <w:spacing w:after="0" w:line="360" w:lineRule="auto"/>
        <w:ind w:left="714" w:hanging="357"/>
        <w:jc w:val="both"/>
        <w:rPr>
          <w:rFonts w:cs="Times New Roman"/>
        </w:rPr>
      </w:pPr>
      <w:r w:rsidRPr="00401B87">
        <w:rPr>
          <w:rFonts w:cs="Times New Roman"/>
        </w:rPr>
        <w:t xml:space="preserve">No se entenderá comprendida en la definición de “Información Confidencial” aquella que, </w:t>
      </w:r>
    </w:p>
    <w:p w14:paraId="1C348A9C" w14:textId="77777777" w:rsidR="00193855" w:rsidRPr="00193855" w:rsidRDefault="00193855" w:rsidP="00193855">
      <w:pPr>
        <w:spacing w:after="0" w:line="360" w:lineRule="auto"/>
        <w:jc w:val="both"/>
        <w:rPr>
          <w:rFonts w:cs="Times New Roman"/>
        </w:rPr>
      </w:pPr>
    </w:p>
    <w:p w14:paraId="426316CD" w14:textId="16BAAC86" w:rsidR="002433B8" w:rsidRPr="00401B87" w:rsidRDefault="002433B8" w:rsidP="00193855">
      <w:pPr>
        <w:pStyle w:val="Prrafodelista"/>
        <w:numPr>
          <w:ilvl w:val="0"/>
          <w:numId w:val="3"/>
        </w:numPr>
        <w:spacing w:after="0" w:line="360" w:lineRule="auto"/>
        <w:jc w:val="both"/>
        <w:rPr>
          <w:rFonts w:cs="Times New Roman"/>
        </w:rPr>
      </w:pPr>
      <w:r w:rsidRPr="00401B87">
        <w:rPr>
          <w:rFonts w:cs="Times New Roman"/>
        </w:rPr>
        <w:lastRenderedPageBreak/>
        <w:t xml:space="preserve">Sea conocida por la Parte Receptora antes de ser entregada por la Parte Cedente, estando dicha información libre de cualquier deber de confidencialidad, según </w:t>
      </w:r>
      <w:r w:rsidR="00401B87" w:rsidRPr="00401B87">
        <w:rPr>
          <w:rFonts w:cs="Times New Roman"/>
        </w:rPr>
        <w:t>se acredito con</w:t>
      </w:r>
      <w:r w:rsidRPr="00401B87">
        <w:rPr>
          <w:rFonts w:cs="Times New Roman"/>
        </w:rPr>
        <w:t xml:space="preserve"> los documentos bajo su custodia;</w:t>
      </w:r>
    </w:p>
    <w:p w14:paraId="30035C3E" w14:textId="7BBACBA7" w:rsidR="002433B8" w:rsidRPr="00D346CD" w:rsidRDefault="002433B8" w:rsidP="002433B8">
      <w:pPr>
        <w:pStyle w:val="Prrafodelista"/>
        <w:numPr>
          <w:ilvl w:val="0"/>
          <w:numId w:val="3"/>
        </w:numPr>
        <w:spacing w:after="0" w:line="360" w:lineRule="auto"/>
        <w:jc w:val="both"/>
        <w:rPr>
          <w:rFonts w:cs="Times New Roman"/>
        </w:rPr>
      </w:pPr>
      <w:r w:rsidRPr="00D346CD">
        <w:rPr>
          <w:rFonts w:cs="Times New Roman"/>
        </w:rPr>
        <w:t>Sea desarrollada o elaborada independientemente</w:t>
      </w:r>
      <w:r w:rsidR="00193855">
        <w:rPr>
          <w:rFonts w:cs="Times New Roman"/>
        </w:rPr>
        <w:t xml:space="preserve"> </w:t>
      </w:r>
      <w:r w:rsidRPr="00D346CD">
        <w:rPr>
          <w:rFonts w:cs="Times New Roman"/>
        </w:rPr>
        <w:t xml:space="preserve">por </w:t>
      </w:r>
      <w:r w:rsidR="00D346CD" w:rsidRPr="00D346CD">
        <w:rPr>
          <w:rFonts w:cs="Times New Roman"/>
        </w:rPr>
        <w:t>o a</w:t>
      </w:r>
      <w:r w:rsidRPr="00D346CD">
        <w:rPr>
          <w:rFonts w:cs="Times New Roman"/>
        </w:rPr>
        <w:t xml:space="preserve"> instancia</w:t>
      </w:r>
      <w:r w:rsidR="00D346CD">
        <w:rPr>
          <w:rFonts w:cs="Times New Roman"/>
        </w:rPr>
        <w:t xml:space="preserve"> </w:t>
      </w:r>
      <w:r w:rsidRPr="00D346CD">
        <w:rPr>
          <w:rFonts w:cs="Times New Roman"/>
        </w:rPr>
        <w:t xml:space="preserve">de la Parte </w:t>
      </w:r>
      <w:r w:rsidR="00D346CD" w:rsidRPr="00D346CD">
        <w:rPr>
          <w:rFonts w:cs="Times New Roman"/>
        </w:rPr>
        <w:t>R</w:t>
      </w:r>
      <w:r w:rsidRPr="00D346CD">
        <w:rPr>
          <w:rFonts w:cs="Times New Roman"/>
        </w:rPr>
        <w:t xml:space="preserve">eceptora o haya sido legalmente recibida, libre de restricciones, de otra fuente con derecho a divulgarlo; </w:t>
      </w:r>
    </w:p>
    <w:p w14:paraId="141E13A8" w14:textId="77777777" w:rsidR="002433B8" w:rsidRPr="00401B87" w:rsidRDefault="002433B8" w:rsidP="002433B8">
      <w:pPr>
        <w:pStyle w:val="Prrafodelista"/>
        <w:numPr>
          <w:ilvl w:val="0"/>
          <w:numId w:val="3"/>
        </w:numPr>
        <w:spacing w:after="0" w:line="360" w:lineRule="auto"/>
        <w:jc w:val="both"/>
        <w:rPr>
          <w:rFonts w:cs="Times New Roman"/>
        </w:rPr>
      </w:pPr>
      <w:r w:rsidRPr="00401B87">
        <w:rPr>
          <w:rFonts w:cs="Times New Roman"/>
        </w:rPr>
        <w:t xml:space="preserve">Fuese o deviniese de conocimiento público, salvo que su divulgación se haya producido en incumplimiento de este Acuerdo por parte de la Parte Receptora; y </w:t>
      </w:r>
    </w:p>
    <w:p w14:paraId="566A1202" w14:textId="566007FB" w:rsidR="00401B87" w:rsidRPr="00401B87" w:rsidRDefault="002433B8" w:rsidP="00401B87">
      <w:pPr>
        <w:pStyle w:val="Prrafodelista"/>
        <w:numPr>
          <w:ilvl w:val="0"/>
          <w:numId w:val="3"/>
        </w:numPr>
        <w:spacing w:after="0" w:line="360" w:lineRule="auto"/>
        <w:jc w:val="both"/>
        <w:rPr>
          <w:rFonts w:cs="Times New Roman"/>
        </w:rPr>
      </w:pPr>
      <w:r w:rsidRPr="00401B87">
        <w:rPr>
          <w:rFonts w:cs="Times New Roman"/>
        </w:rPr>
        <w:t>Sea entregada por un tercero sin que dicha entrega sea un incumplimiento de ninguna obligación de confidencialidad incluida en este Acuerdo.</w:t>
      </w:r>
    </w:p>
    <w:p w14:paraId="3D1F047F" w14:textId="77777777" w:rsidR="00401B87" w:rsidRPr="00401B87" w:rsidRDefault="00401B87" w:rsidP="00401B87">
      <w:pPr>
        <w:pStyle w:val="Prrafodelista"/>
        <w:spacing w:after="0" w:line="360" w:lineRule="auto"/>
        <w:ind w:left="1068"/>
        <w:jc w:val="both"/>
        <w:rPr>
          <w:rFonts w:cs="Times New Roman"/>
        </w:rPr>
      </w:pPr>
    </w:p>
    <w:p w14:paraId="2A4CC475" w14:textId="77777777" w:rsidR="00225FD0" w:rsidRDefault="00401B87" w:rsidP="00401B87">
      <w:pPr>
        <w:pStyle w:val="Prrafodelista"/>
        <w:numPr>
          <w:ilvl w:val="0"/>
          <w:numId w:val="1"/>
        </w:numPr>
        <w:spacing w:after="0" w:line="360" w:lineRule="auto"/>
        <w:jc w:val="both"/>
        <w:rPr>
          <w:rFonts w:cs="Times New Roman"/>
        </w:rPr>
      </w:pPr>
      <w:r w:rsidRPr="00401B87">
        <w:rPr>
          <w:rFonts w:cs="Times New Roman"/>
        </w:rPr>
        <w:t xml:space="preserve">La Parte Receptora puede divulgar Información Confidencial en la mínima medida requerida por: </w:t>
      </w:r>
      <w:r w:rsidRPr="00401B87">
        <w:rPr>
          <w:rFonts w:cs="Times New Roman"/>
          <w:b/>
          <w:bCs/>
        </w:rPr>
        <w:t>(a)</w:t>
      </w:r>
      <w:r w:rsidRPr="00401B87">
        <w:rPr>
          <w:rFonts w:cs="Times New Roman"/>
        </w:rPr>
        <w:t xml:space="preserve"> cualquier orden de cualquier tribunal de jurisdicción competente o cualquier organismo judicial, gubernamental o regulador competente; </w:t>
      </w:r>
      <w:r w:rsidRPr="00401B87">
        <w:rPr>
          <w:rFonts w:cs="Times New Roman"/>
          <w:b/>
          <w:bCs/>
        </w:rPr>
        <w:t>(b)</w:t>
      </w:r>
      <w:r w:rsidRPr="00401B87">
        <w:rPr>
          <w:rFonts w:cs="Times New Roman"/>
        </w:rPr>
        <w:t xml:space="preserve"> las reglas de cualquier bolsa de valores en la que coticen las acciones de la Parte Receptora; </w:t>
      </w:r>
      <w:r w:rsidRPr="00401B87">
        <w:rPr>
          <w:rFonts w:cs="Times New Roman"/>
          <w:b/>
          <w:bCs/>
        </w:rPr>
        <w:t>(c)</w:t>
      </w:r>
      <w:r w:rsidRPr="00401B87">
        <w:rPr>
          <w:rFonts w:cs="Times New Roman"/>
        </w:rPr>
        <w:t xml:space="preserve"> las leyes o reglamentos de cualquier país con jurisdicción sobre los asuntos de la Parte Receptora</w:t>
      </w:r>
      <w:r w:rsidR="00E41388">
        <w:rPr>
          <w:rFonts w:cs="Times New Roman"/>
        </w:rPr>
        <w:t xml:space="preserve"> o </w:t>
      </w:r>
      <w:r w:rsidR="00E41388" w:rsidRPr="00E41388">
        <w:rPr>
          <w:rFonts w:cs="Times New Roman"/>
          <w:b/>
          <w:bCs/>
        </w:rPr>
        <w:t>(d)</w:t>
      </w:r>
      <w:r w:rsidR="00E41388">
        <w:rPr>
          <w:rFonts w:cs="Times New Roman"/>
          <w:b/>
          <w:bCs/>
        </w:rPr>
        <w:t xml:space="preserve"> </w:t>
      </w:r>
      <w:r w:rsidR="00E41388">
        <w:rPr>
          <w:rFonts w:cs="Times New Roman"/>
        </w:rPr>
        <w:t>en caso de que la ley exija comunicarla a un</w:t>
      </w:r>
      <w:r w:rsidR="00A77EA6">
        <w:rPr>
          <w:rFonts w:cs="Times New Roman"/>
        </w:rPr>
        <w:t>a autoridad u</w:t>
      </w:r>
      <w:r w:rsidR="00E41388">
        <w:rPr>
          <w:rFonts w:cs="Times New Roman"/>
        </w:rPr>
        <w:t xml:space="preserve"> organismo regulador, como puede ser la Comisión Nacional de los Mercados y la Competencia</w:t>
      </w:r>
      <w:r w:rsidR="00225FD0">
        <w:rPr>
          <w:rFonts w:cs="Times New Roman"/>
        </w:rPr>
        <w:t>.</w:t>
      </w:r>
    </w:p>
    <w:p w14:paraId="19A59028" w14:textId="77777777" w:rsidR="00225FD0" w:rsidRDefault="00225FD0" w:rsidP="00225FD0">
      <w:pPr>
        <w:pStyle w:val="Prrafodelista"/>
        <w:spacing w:after="0" w:line="360" w:lineRule="auto"/>
        <w:jc w:val="both"/>
        <w:rPr>
          <w:rFonts w:cs="Times New Roman"/>
        </w:rPr>
      </w:pPr>
    </w:p>
    <w:p w14:paraId="52C474F9" w14:textId="09FC26E3" w:rsidR="00401B87" w:rsidRPr="00401B87" w:rsidRDefault="00225FD0" w:rsidP="000841B1">
      <w:pPr>
        <w:pStyle w:val="Prrafodelista"/>
        <w:spacing w:after="0" w:line="360" w:lineRule="auto"/>
        <w:jc w:val="both"/>
        <w:rPr>
          <w:rFonts w:cs="Times New Roman"/>
        </w:rPr>
      </w:pPr>
      <w:r>
        <w:rPr>
          <w:rFonts w:cs="Times New Roman"/>
        </w:rPr>
        <w:t>A</w:t>
      </w:r>
      <w:r w:rsidR="00401B87" w:rsidRPr="00401B87">
        <w:rPr>
          <w:rFonts w:cs="Times New Roman"/>
        </w:rPr>
        <w:t xml:space="preserve">ntes de la divulgación de la información, la Parte Receptora deberá: </w:t>
      </w:r>
      <w:r w:rsidR="00401B87" w:rsidRPr="00401B87">
        <w:rPr>
          <w:rFonts w:cs="Times New Roman"/>
          <w:b/>
          <w:bCs/>
        </w:rPr>
        <w:t>(a)</w:t>
      </w:r>
      <w:r w:rsidR="00401B87" w:rsidRPr="00401B87">
        <w:rPr>
          <w:rFonts w:cs="Times New Roman"/>
        </w:rPr>
        <w:t xml:space="preserve"> en la medida en que lo permita la ley, informar a la Parte Cedente de forma inmediata sobre la existencia y el alcance de su obligación de divulgar dicha información y las circunstancias precisas</w:t>
      </w:r>
      <w:r>
        <w:rPr>
          <w:rFonts w:cs="Times New Roman"/>
        </w:rPr>
        <w:t xml:space="preserve"> (se exceptúa la información que deba comunicarse a la </w:t>
      </w:r>
      <w:r w:rsidRPr="00225FD0">
        <w:rPr>
          <w:rFonts w:cs="Times New Roman"/>
        </w:rPr>
        <w:t>Comisión Nacional de los Mercados y la Competencia</w:t>
      </w:r>
      <w:r>
        <w:rPr>
          <w:rFonts w:cs="Times New Roman"/>
        </w:rPr>
        <w:t xml:space="preserve"> con arreglo a la disposición adicional 38 de la LSH)</w:t>
      </w:r>
      <w:r w:rsidR="00401B87" w:rsidRPr="00401B87">
        <w:rPr>
          <w:rFonts w:cs="Times New Roman"/>
        </w:rPr>
        <w:t xml:space="preserve">; y </w:t>
      </w:r>
      <w:r w:rsidR="00401B87" w:rsidRPr="00401B87">
        <w:rPr>
          <w:rFonts w:cs="Times New Roman"/>
          <w:b/>
          <w:bCs/>
        </w:rPr>
        <w:t xml:space="preserve">(b) </w:t>
      </w:r>
      <w:r w:rsidR="00401B87" w:rsidRPr="00401B87">
        <w:rPr>
          <w:rFonts w:cs="Times New Roman"/>
        </w:rPr>
        <w:t>divulgar a la autoridad pública pertinente</w:t>
      </w:r>
      <w:r w:rsidR="00A77EA6">
        <w:rPr>
          <w:rFonts w:cs="Times New Roman"/>
        </w:rPr>
        <w:t>, organismo</w:t>
      </w:r>
      <w:r w:rsidR="00401B87" w:rsidRPr="00401B87">
        <w:rPr>
          <w:rFonts w:cs="Times New Roman"/>
        </w:rPr>
        <w:t xml:space="preserve"> o al tribunal solo la parte de la Información </w:t>
      </w:r>
      <w:r w:rsidR="00A77EA6">
        <w:rPr>
          <w:rFonts w:cs="Times New Roman"/>
        </w:rPr>
        <w:t>C</w:t>
      </w:r>
      <w:r w:rsidR="00401B87" w:rsidRPr="00401B87">
        <w:rPr>
          <w:rFonts w:cs="Times New Roman"/>
        </w:rPr>
        <w:t>onfidencial cuya divulgación es legalmente requerida.</w:t>
      </w:r>
    </w:p>
    <w:p w14:paraId="7FC6F2E8" w14:textId="77777777" w:rsidR="00401B87" w:rsidRPr="00401B87" w:rsidRDefault="00401B87" w:rsidP="00401B87">
      <w:pPr>
        <w:pStyle w:val="Prrafodelista"/>
        <w:spacing w:after="0" w:line="360" w:lineRule="auto"/>
        <w:jc w:val="both"/>
        <w:rPr>
          <w:rFonts w:cs="Times New Roman"/>
        </w:rPr>
      </w:pPr>
    </w:p>
    <w:p w14:paraId="32837B4C" w14:textId="3BA1D69D" w:rsidR="00401B87" w:rsidRPr="00401B87" w:rsidRDefault="00401B87" w:rsidP="00FA1B63">
      <w:pPr>
        <w:pStyle w:val="Prrafodelista"/>
        <w:numPr>
          <w:ilvl w:val="0"/>
          <w:numId w:val="1"/>
        </w:numPr>
        <w:spacing w:after="0" w:line="360" w:lineRule="auto"/>
        <w:jc w:val="both"/>
        <w:rPr>
          <w:rFonts w:cs="Times New Roman"/>
        </w:rPr>
      </w:pPr>
      <w:r w:rsidRPr="00401B87">
        <w:rPr>
          <w:rFonts w:cs="Times New Roman"/>
        </w:rPr>
        <w:t>Una vez terminado el presente Acuerdo, toda “Información Confidencial” entregada por la Parte Cedente por medios escritos, o registrada en formato magnético o en cualquier otro tipo de medio tangible, será devuelta a la Parte Cedente o, en su caso, destruida por la Parte Receptora, según los casos, si así lo solicita la Parte Cedente.</w:t>
      </w:r>
    </w:p>
    <w:p w14:paraId="791DD572" w14:textId="77777777" w:rsidR="00401B87" w:rsidRPr="00401B87" w:rsidRDefault="00401B87" w:rsidP="00FA1B63">
      <w:pPr>
        <w:pStyle w:val="Prrafodelista"/>
        <w:spacing w:after="0" w:line="360" w:lineRule="auto"/>
        <w:rPr>
          <w:rFonts w:cs="Times New Roman"/>
        </w:rPr>
      </w:pPr>
    </w:p>
    <w:p w14:paraId="63E8B957" w14:textId="5D68F3D0" w:rsidR="00401B87" w:rsidRPr="00401B87" w:rsidRDefault="00401B87" w:rsidP="00FA1B63">
      <w:pPr>
        <w:pStyle w:val="Prrafodelista"/>
        <w:spacing w:after="0" w:line="360" w:lineRule="auto"/>
        <w:jc w:val="both"/>
        <w:rPr>
          <w:rFonts w:cs="Times New Roman"/>
        </w:rPr>
      </w:pPr>
      <w:r w:rsidRPr="00401B87">
        <w:rPr>
          <w:rFonts w:cs="Times New Roman"/>
        </w:rPr>
        <w:t>A requerimiento de la Parte Cedente, la Parte Receptora deberá certificar por escrito que toda la Información Confidencial recibida por el Receptor, incluyendo todas las copias de la misma, así como todos los materiales que contengan dicha Información Confidencial han sido destruidos.</w:t>
      </w:r>
    </w:p>
    <w:p w14:paraId="1E5E5F96" w14:textId="77777777" w:rsidR="00401B87" w:rsidRPr="00401B87" w:rsidRDefault="00401B87" w:rsidP="00FA1B63">
      <w:pPr>
        <w:pStyle w:val="Prrafodelista"/>
        <w:spacing w:after="0" w:line="360" w:lineRule="auto"/>
        <w:jc w:val="both"/>
        <w:rPr>
          <w:rFonts w:cs="Times New Roman"/>
        </w:rPr>
      </w:pPr>
    </w:p>
    <w:p w14:paraId="0A067003" w14:textId="05362434" w:rsidR="00401B87" w:rsidRPr="00401B87" w:rsidRDefault="00401B87" w:rsidP="00FA1B63">
      <w:pPr>
        <w:pStyle w:val="Prrafodelista"/>
        <w:numPr>
          <w:ilvl w:val="0"/>
          <w:numId w:val="1"/>
        </w:numPr>
        <w:spacing w:after="0" w:line="360" w:lineRule="auto"/>
        <w:jc w:val="both"/>
        <w:rPr>
          <w:rFonts w:cs="Times New Roman"/>
        </w:rPr>
      </w:pPr>
      <w:r w:rsidRPr="00401B87">
        <w:rPr>
          <w:rFonts w:cs="Times New Roman"/>
        </w:rPr>
        <w:t xml:space="preserve">Este Acuerdo tiene carácter mercantil, y se regirá por sus propias cláusulas, y en lo que en ellas no estuviere previsto se atendrán las Partes a la legislación española y, en concreto, a las disposiciones del Código de Comercio y los, usos mercantiles y, en su defecto, a lo dispuesto en el Código Civil.  </w:t>
      </w:r>
    </w:p>
    <w:p w14:paraId="0917949E" w14:textId="77777777" w:rsidR="00401B87" w:rsidRPr="00401B87" w:rsidRDefault="00401B87" w:rsidP="00FA1B63">
      <w:pPr>
        <w:pStyle w:val="Prrafodelista"/>
        <w:spacing w:after="0" w:line="360" w:lineRule="auto"/>
        <w:jc w:val="both"/>
        <w:rPr>
          <w:rFonts w:cs="Times New Roman"/>
        </w:rPr>
      </w:pPr>
    </w:p>
    <w:p w14:paraId="3403E5DA" w14:textId="2492836A" w:rsidR="00401B87" w:rsidRDefault="00401B87" w:rsidP="005E73F0">
      <w:pPr>
        <w:pStyle w:val="Prrafodelista"/>
        <w:spacing w:after="0" w:line="360" w:lineRule="auto"/>
        <w:jc w:val="both"/>
        <w:rPr>
          <w:rFonts w:cs="Times New Roman"/>
        </w:rPr>
      </w:pPr>
      <w:r w:rsidRPr="00401B87">
        <w:rPr>
          <w:rFonts w:cs="Times New Roman"/>
        </w:rPr>
        <w:t xml:space="preserve">Las Partes acuerdan someter todos los conflictos que se deriven de la ejecución o interpretación del presente Acuerdo a los tribunales ordinarios de la ciudad de Madrid, con renuncia expresa a su propio fuero, si tuvieran derecho a otro fuero. Sin perjuicio de las medidas cautelares que la Parte Cedente pueda solicitar frente a cualesquiera otros tribunales competentes para hacer cumplir los términos del Acuerdo. </w:t>
      </w:r>
    </w:p>
    <w:p w14:paraId="23C8336E" w14:textId="77777777" w:rsidR="005E73F0" w:rsidRDefault="005E73F0" w:rsidP="005E73F0">
      <w:pPr>
        <w:pStyle w:val="Prrafodelista"/>
        <w:spacing w:after="0" w:line="360" w:lineRule="auto"/>
        <w:jc w:val="both"/>
        <w:rPr>
          <w:rFonts w:cs="Times New Roman"/>
        </w:rPr>
      </w:pPr>
    </w:p>
    <w:p w14:paraId="7D2B7BB2" w14:textId="548A3A71" w:rsidR="005E73F0" w:rsidRDefault="005E73F0" w:rsidP="005E73F0">
      <w:pPr>
        <w:pStyle w:val="Prrafodelista"/>
        <w:numPr>
          <w:ilvl w:val="0"/>
          <w:numId w:val="1"/>
        </w:numPr>
        <w:spacing w:after="0" w:line="360" w:lineRule="auto"/>
        <w:jc w:val="both"/>
        <w:rPr>
          <w:rFonts w:cs="Times New Roman"/>
        </w:rPr>
      </w:pPr>
      <w:r>
        <w:rPr>
          <w:rFonts w:cs="Times New Roman"/>
        </w:rPr>
        <w:t xml:space="preserve"> </w:t>
      </w:r>
      <w:r w:rsidRPr="005E73F0">
        <w:rPr>
          <w:rFonts w:cs="Times New Roman"/>
        </w:rPr>
        <w:t>Nada en este Acuerdo otorgará a una Parte el derecho a contraer compromisos de ningún tipo para o en nombre o por cuenta de las otras Partes sin el consentimiento previo por escrito de la otra Parte.</w:t>
      </w:r>
    </w:p>
    <w:p w14:paraId="55F0DD70" w14:textId="146BEA1B" w:rsidR="005E73F0" w:rsidRDefault="005E73F0" w:rsidP="005E73F0">
      <w:pPr>
        <w:pStyle w:val="Prrafodelista"/>
        <w:spacing w:after="0" w:line="360" w:lineRule="auto"/>
        <w:jc w:val="both"/>
        <w:rPr>
          <w:rFonts w:cs="Times New Roman"/>
        </w:rPr>
      </w:pPr>
    </w:p>
    <w:p w14:paraId="637AF926" w14:textId="014950C0" w:rsidR="005E73F0" w:rsidRDefault="005E73F0" w:rsidP="005E73F0">
      <w:pPr>
        <w:pStyle w:val="Prrafodelista"/>
        <w:spacing w:after="0" w:line="360" w:lineRule="auto"/>
        <w:jc w:val="both"/>
        <w:rPr>
          <w:rFonts w:cs="Times New Roman"/>
        </w:rPr>
      </w:pPr>
      <w:r>
        <w:rPr>
          <w:rFonts w:cs="Times New Roman"/>
        </w:rPr>
        <w:t>Además, n</w:t>
      </w:r>
      <w:r w:rsidRPr="005E73F0">
        <w:rPr>
          <w:rFonts w:cs="Times New Roman"/>
        </w:rPr>
        <w:t xml:space="preserve">inguna enmienda </w:t>
      </w:r>
      <w:r w:rsidR="00A77EA6">
        <w:rPr>
          <w:rFonts w:cs="Times New Roman"/>
        </w:rPr>
        <w:t>o modificación de</w:t>
      </w:r>
      <w:r w:rsidRPr="005E73F0">
        <w:rPr>
          <w:rFonts w:cs="Times New Roman"/>
        </w:rPr>
        <w:t xml:space="preserve"> los términos y condiciones de este Acuerdo será válida y vinculante para las Partes a menos que se haga por escrito y esté firmada por un representante autorizado de ambas Partes.</w:t>
      </w:r>
    </w:p>
    <w:p w14:paraId="3DBC6228" w14:textId="77777777" w:rsidR="005E73F0" w:rsidRPr="004D0CBD" w:rsidRDefault="005E73F0" w:rsidP="004D0CBD">
      <w:pPr>
        <w:spacing w:after="0" w:line="360" w:lineRule="auto"/>
        <w:jc w:val="both"/>
        <w:rPr>
          <w:rFonts w:cs="Times New Roman"/>
        </w:rPr>
      </w:pPr>
    </w:p>
    <w:p w14:paraId="64EC6CFB" w14:textId="2E483147" w:rsidR="00057DF9" w:rsidRDefault="005E73F0" w:rsidP="00057DF9">
      <w:pPr>
        <w:pStyle w:val="Prrafodelista"/>
        <w:numPr>
          <w:ilvl w:val="0"/>
          <w:numId w:val="1"/>
        </w:numPr>
        <w:spacing w:after="0" w:line="360" w:lineRule="auto"/>
        <w:jc w:val="both"/>
        <w:rPr>
          <w:rFonts w:cs="Times New Roman"/>
        </w:rPr>
      </w:pPr>
      <w:r w:rsidRPr="005E73F0">
        <w:rPr>
          <w:rFonts w:cs="Times New Roman"/>
        </w:rPr>
        <w:t>Este Acuerdo será vinculante para las Partes y sus respectivos sucesores, cesionarios, subsidiarias y afiliadas.</w:t>
      </w:r>
      <w:r w:rsidR="00057DF9">
        <w:rPr>
          <w:rFonts w:cs="Times New Roman"/>
        </w:rPr>
        <w:t xml:space="preserve"> </w:t>
      </w:r>
    </w:p>
    <w:p w14:paraId="0C623C47" w14:textId="77777777" w:rsidR="00057DF9" w:rsidRPr="00057DF9" w:rsidRDefault="00057DF9" w:rsidP="00057DF9">
      <w:pPr>
        <w:pStyle w:val="Prrafodelista"/>
        <w:spacing w:after="0" w:line="360" w:lineRule="auto"/>
        <w:rPr>
          <w:rFonts w:cs="Times New Roman"/>
        </w:rPr>
      </w:pPr>
    </w:p>
    <w:p w14:paraId="56ECFBCD" w14:textId="3624D890" w:rsidR="009A1066" w:rsidRPr="009A1066" w:rsidRDefault="00057DF9" w:rsidP="009A1066">
      <w:pPr>
        <w:pStyle w:val="Prrafodelista"/>
        <w:spacing w:after="0" w:line="360" w:lineRule="auto"/>
        <w:jc w:val="both"/>
        <w:rPr>
          <w:rFonts w:cs="Times New Roman"/>
        </w:rPr>
      </w:pPr>
      <w:bookmarkStart w:id="7" w:name="_Hlk139280816"/>
      <w:r>
        <w:rPr>
          <w:rFonts w:cs="Times New Roman"/>
        </w:rPr>
        <w:t xml:space="preserve">Las Partes no podrán ceder o transferir ninguno de los derechos y obligaciones derivados del presente Acuerdo sin el consentimiento previo de la otra Parte, salvo que la cesión se realice para algunas de las sociedades </w:t>
      </w:r>
      <w:r w:rsidR="009A1066">
        <w:rPr>
          <w:rFonts w:cs="Times New Roman"/>
        </w:rPr>
        <w:t>F</w:t>
      </w:r>
      <w:r>
        <w:rPr>
          <w:rFonts w:cs="Times New Roman"/>
        </w:rPr>
        <w:t xml:space="preserve">iliales de las Partes. </w:t>
      </w:r>
    </w:p>
    <w:p w14:paraId="107A0C18" w14:textId="77777777" w:rsidR="00C94A0E" w:rsidRDefault="00C94A0E" w:rsidP="00057DF9">
      <w:pPr>
        <w:pStyle w:val="Prrafodelista"/>
        <w:spacing w:after="0" w:line="360" w:lineRule="auto"/>
        <w:jc w:val="both"/>
        <w:rPr>
          <w:rFonts w:cs="Times New Roman"/>
        </w:rPr>
      </w:pPr>
    </w:p>
    <w:p w14:paraId="128F9A19" w14:textId="16B417F7" w:rsidR="00C94A0E" w:rsidRDefault="00C94A0E" w:rsidP="00C94A0E">
      <w:pPr>
        <w:pStyle w:val="Prrafodelista"/>
        <w:numPr>
          <w:ilvl w:val="0"/>
          <w:numId w:val="1"/>
        </w:numPr>
        <w:spacing w:after="0" w:line="360" w:lineRule="auto"/>
        <w:jc w:val="both"/>
        <w:rPr>
          <w:rFonts w:cs="Times New Roman"/>
        </w:rPr>
      </w:pPr>
      <w:bookmarkStart w:id="8" w:name="_Hlk139282361"/>
      <w:r w:rsidRPr="00C94A0E">
        <w:rPr>
          <w:rFonts w:cs="Times New Roman"/>
        </w:rPr>
        <w:t xml:space="preserve">En caso de que la ejecución del objeto del </w:t>
      </w:r>
      <w:r>
        <w:rPr>
          <w:rFonts w:cs="Times New Roman"/>
        </w:rPr>
        <w:t>Acuerdo</w:t>
      </w:r>
      <w:r w:rsidRPr="00C94A0E">
        <w:rPr>
          <w:rFonts w:cs="Times New Roman"/>
        </w:rPr>
        <w:t xml:space="preserve"> suponga el tratamiento de datos</w:t>
      </w:r>
      <w:r>
        <w:rPr>
          <w:rFonts w:cs="Times New Roman"/>
        </w:rPr>
        <w:t xml:space="preserve"> </w:t>
      </w:r>
      <w:r w:rsidRPr="00C94A0E">
        <w:rPr>
          <w:rFonts w:cs="Times New Roman"/>
        </w:rPr>
        <w:t xml:space="preserve">de carácter personal titularidad de una de las </w:t>
      </w:r>
      <w:r>
        <w:rPr>
          <w:rFonts w:cs="Times New Roman"/>
        </w:rPr>
        <w:t xml:space="preserve">Partes </w:t>
      </w:r>
      <w:r w:rsidRPr="00C94A0E">
        <w:rPr>
          <w:rFonts w:cs="Times New Roman"/>
        </w:rPr>
        <w:t>por la</w:t>
      </w:r>
      <w:r>
        <w:rPr>
          <w:rFonts w:cs="Times New Roman"/>
        </w:rPr>
        <w:t xml:space="preserve"> </w:t>
      </w:r>
      <w:r w:rsidRPr="00C94A0E">
        <w:rPr>
          <w:rFonts w:cs="Times New Roman"/>
        </w:rPr>
        <w:t>otra, dicho tratamiento quedará sometido a lo previsto en el Reglamento (UE)</w:t>
      </w:r>
      <w:r>
        <w:rPr>
          <w:rFonts w:cs="Times New Roman"/>
        </w:rPr>
        <w:t xml:space="preserve"> </w:t>
      </w:r>
      <w:r w:rsidRPr="00C94A0E">
        <w:rPr>
          <w:rFonts w:cs="Times New Roman"/>
        </w:rPr>
        <w:t>2016/679 del Parlamento Europeo y del Consejo de 27 de abril de 2016 (“</w:t>
      </w:r>
      <w:r w:rsidRPr="00C94A0E">
        <w:rPr>
          <w:rFonts w:cs="Times New Roman"/>
          <w:b/>
          <w:bCs/>
        </w:rPr>
        <w:t>GDPR</w:t>
      </w:r>
      <w:r w:rsidRPr="00C94A0E">
        <w:rPr>
          <w:rFonts w:cs="Times New Roman"/>
        </w:rPr>
        <w:t>”) y a la</w:t>
      </w:r>
      <w:r>
        <w:rPr>
          <w:rFonts w:cs="Times New Roman"/>
        </w:rPr>
        <w:t xml:space="preserve"> </w:t>
      </w:r>
      <w:r w:rsidRPr="00C94A0E">
        <w:rPr>
          <w:rFonts w:cs="Times New Roman"/>
        </w:rPr>
        <w:t>Ley Orgánica de Protección de Datos y Garantía de Derechos Digitales 3/2018 de 5 d</w:t>
      </w:r>
      <w:r>
        <w:rPr>
          <w:rFonts w:cs="Times New Roman"/>
        </w:rPr>
        <w:t xml:space="preserve">e </w:t>
      </w:r>
      <w:r w:rsidRPr="00C94A0E">
        <w:rPr>
          <w:rFonts w:cs="Times New Roman"/>
        </w:rPr>
        <w:t>diciembre (</w:t>
      </w:r>
      <w:r w:rsidRPr="00C94A0E">
        <w:rPr>
          <w:rFonts w:cs="Times New Roman"/>
          <w:b/>
          <w:bCs/>
        </w:rPr>
        <w:t>LOPDGDD</w:t>
      </w:r>
      <w:r w:rsidRPr="00C94A0E">
        <w:rPr>
          <w:rFonts w:cs="Times New Roman"/>
        </w:rPr>
        <w:t>), en lo que respecta al tratamiento de datos personales y a la</w:t>
      </w:r>
      <w:r>
        <w:rPr>
          <w:rFonts w:cs="Times New Roman"/>
        </w:rPr>
        <w:t xml:space="preserve"> </w:t>
      </w:r>
      <w:r w:rsidRPr="00C94A0E">
        <w:rPr>
          <w:rFonts w:cs="Times New Roman"/>
        </w:rPr>
        <w:t>libre circulación de estos datos (o normas que las desarrollen y/o sustituyan),</w:t>
      </w:r>
      <w:r>
        <w:rPr>
          <w:rFonts w:cs="Times New Roman"/>
        </w:rPr>
        <w:t xml:space="preserve"> </w:t>
      </w:r>
      <w:r w:rsidRPr="00C94A0E">
        <w:rPr>
          <w:rFonts w:cs="Times New Roman"/>
        </w:rPr>
        <w:t xml:space="preserve">obligándose las </w:t>
      </w:r>
      <w:r w:rsidR="009A1066">
        <w:rPr>
          <w:rFonts w:cs="Times New Roman"/>
        </w:rPr>
        <w:t>P</w:t>
      </w:r>
      <w:r w:rsidRPr="00C94A0E">
        <w:rPr>
          <w:rFonts w:cs="Times New Roman"/>
        </w:rPr>
        <w:t>artes a la ejecución de cuantas actuaciones</w:t>
      </w:r>
      <w:r>
        <w:rPr>
          <w:rFonts w:cs="Times New Roman"/>
        </w:rPr>
        <w:t xml:space="preserve"> </w:t>
      </w:r>
      <w:r w:rsidRPr="00C94A0E">
        <w:rPr>
          <w:rFonts w:cs="Times New Roman"/>
        </w:rPr>
        <w:t>complementarias pudieran ser necesarias para el correcto cumplimiento de la</w:t>
      </w:r>
      <w:r>
        <w:rPr>
          <w:rFonts w:cs="Times New Roman"/>
        </w:rPr>
        <w:t xml:space="preserve"> </w:t>
      </w:r>
      <w:r w:rsidRPr="00C94A0E">
        <w:rPr>
          <w:rFonts w:cs="Times New Roman"/>
        </w:rPr>
        <w:t xml:space="preserve">legislación y normativa vigente en </w:t>
      </w:r>
      <w:r w:rsidRPr="00C94A0E">
        <w:rPr>
          <w:rFonts w:cs="Times New Roman"/>
        </w:rPr>
        <w:lastRenderedPageBreak/>
        <w:t>materia de protección de datos personales. La Parte</w:t>
      </w:r>
      <w:r>
        <w:rPr>
          <w:rFonts w:cs="Times New Roman"/>
        </w:rPr>
        <w:t xml:space="preserve"> </w:t>
      </w:r>
      <w:r w:rsidRPr="00C94A0E">
        <w:rPr>
          <w:rFonts w:cs="Times New Roman"/>
        </w:rPr>
        <w:t xml:space="preserve">que trate los datos tendrá atribuida la cualidad de </w:t>
      </w:r>
      <w:r w:rsidR="009A1066">
        <w:rPr>
          <w:rFonts w:cs="Times New Roman"/>
        </w:rPr>
        <w:t>e</w:t>
      </w:r>
      <w:r w:rsidRPr="00C94A0E">
        <w:rPr>
          <w:rFonts w:cs="Times New Roman"/>
        </w:rPr>
        <w:t xml:space="preserve">ncargado del </w:t>
      </w:r>
      <w:r w:rsidR="009A1066">
        <w:rPr>
          <w:rFonts w:cs="Times New Roman"/>
        </w:rPr>
        <w:t>t</w:t>
      </w:r>
      <w:r w:rsidRPr="00C94A0E">
        <w:rPr>
          <w:rFonts w:cs="Times New Roman"/>
        </w:rPr>
        <w:t>ratamiento</w:t>
      </w:r>
      <w:r w:rsidR="009A1066">
        <w:rPr>
          <w:rFonts w:cs="Times New Roman"/>
        </w:rPr>
        <w:t xml:space="preserve"> (“</w:t>
      </w:r>
      <w:r w:rsidR="009A1066" w:rsidRPr="00FA2CE2">
        <w:rPr>
          <w:rFonts w:cs="Times New Roman"/>
          <w:b/>
          <w:bCs/>
        </w:rPr>
        <w:t>Encargado del Tratamiento</w:t>
      </w:r>
      <w:r w:rsidR="009A1066">
        <w:rPr>
          <w:rFonts w:cs="Times New Roman"/>
        </w:rPr>
        <w:t>”)</w:t>
      </w:r>
      <w:r w:rsidRPr="00C94A0E">
        <w:rPr>
          <w:rFonts w:cs="Times New Roman"/>
        </w:rPr>
        <w:t>.</w:t>
      </w:r>
    </w:p>
    <w:p w14:paraId="5B471634" w14:textId="69981E50" w:rsidR="00350C5B" w:rsidRDefault="00350C5B" w:rsidP="00350C5B">
      <w:pPr>
        <w:pStyle w:val="Prrafodelista"/>
        <w:spacing w:after="0" w:line="360" w:lineRule="auto"/>
        <w:jc w:val="both"/>
        <w:rPr>
          <w:rFonts w:cs="Times New Roman"/>
        </w:rPr>
      </w:pPr>
    </w:p>
    <w:p w14:paraId="0822595E" w14:textId="63FAF129" w:rsidR="00350C5B" w:rsidRPr="00350C5B" w:rsidRDefault="00350C5B" w:rsidP="00350C5B">
      <w:pPr>
        <w:pStyle w:val="Prrafodelista"/>
        <w:spacing w:after="0" w:line="360" w:lineRule="auto"/>
        <w:jc w:val="both"/>
        <w:rPr>
          <w:rFonts w:cs="Times New Roman"/>
        </w:rPr>
      </w:pPr>
      <w:r w:rsidRPr="00350C5B">
        <w:rPr>
          <w:rFonts w:cs="Times New Roman"/>
        </w:rPr>
        <w:t xml:space="preserve">Al efecto, las Partes, cuando tengan la condición de Encargado del Tratamiento, se obligan a colaborar con el responsable para garantizar el cumplimiento de las obligaciones establecidas en los artículos 32 a 36 del </w:t>
      </w:r>
      <w:r w:rsidR="00474E6A">
        <w:rPr>
          <w:rFonts w:cs="Times New Roman"/>
        </w:rPr>
        <w:t xml:space="preserve">GDPR </w:t>
      </w:r>
      <w:r w:rsidRPr="00350C5B">
        <w:rPr>
          <w:rFonts w:cs="Times New Roman"/>
        </w:rPr>
        <w:t>y concordantes del LOPDGDD relativo a la protección de las personas físicas en lo que respecta al tratamiento de datos personales y a la libre circulación de estos datos.</w:t>
      </w:r>
    </w:p>
    <w:bookmarkEnd w:id="7"/>
    <w:bookmarkEnd w:id="8"/>
    <w:p w14:paraId="5767B5EA" w14:textId="77777777" w:rsidR="005E73F0" w:rsidRPr="00350C5B" w:rsidRDefault="005E73F0" w:rsidP="00350C5B">
      <w:pPr>
        <w:spacing w:after="0" w:line="360" w:lineRule="auto"/>
        <w:jc w:val="both"/>
        <w:rPr>
          <w:rFonts w:cs="Times New Roman"/>
        </w:rPr>
      </w:pPr>
    </w:p>
    <w:p w14:paraId="0DB79CBE" w14:textId="192731DC" w:rsidR="00350C5B" w:rsidRPr="00350C5B" w:rsidRDefault="00350C5B" w:rsidP="00350C5B">
      <w:pPr>
        <w:pStyle w:val="Prrafodelista"/>
        <w:numPr>
          <w:ilvl w:val="0"/>
          <w:numId w:val="1"/>
        </w:numPr>
        <w:spacing w:after="0" w:line="360" w:lineRule="auto"/>
        <w:ind w:left="714" w:hanging="357"/>
        <w:jc w:val="both"/>
        <w:rPr>
          <w:rFonts w:cs="Times New Roman"/>
        </w:rPr>
      </w:pPr>
      <w:r w:rsidRPr="00350C5B">
        <w:rPr>
          <w:rFonts w:cs="Times New Roman"/>
        </w:rPr>
        <w:t xml:space="preserve">El presente Acuerdo, así como las obligaciones de confidencialidad impuestas en este Acuerdo a ambas Partes permanecerán en vigor durante dos (2) años a partir de la fecha </w:t>
      </w:r>
      <w:r w:rsidR="00917203" w:rsidRPr="00917203">
        <w:rPr>
          <w:rFonts w:cs="Times New Roman"/>
        </w:rPr>
        <w:t>de la firma digital de</w:t>
      </w:r>
      <w:r w:rsidR="00917203">
        <w:rPr>
          <w:rFonts w:cs="Times New Roman"/>
        </w:rPr>
        <w:t xml:space="preserve"> este </w:t>
      </w:r>
      <w:r w:rsidR="00917203" w:rsidRPr="00917203">
        <w:rPr>
          <w:rFonts w:cs="Times New Roman"/>
        </w:rPr>
        <w:t>Acuerdo por la Sociedad</w:t>
      </w:r>
      <w:r w:rsidRPr="00350C5B">
        <w:rPr>
          <w:rFonts w:cs="Times New Roman"/>
        </w:rPr>
        <w:t>.</w:t>
      </w:r>
    </w:p>
    <w:p w14:paraId="43A3866A" w14:textId="29CBCC31" w:rsidR="00401B87" w:rsidRPr="00350C5B" w:rsidRDefault="00401B87" w:rsidP="00350C5B">
      <w:pPr>
        <w:pStyle w:val="Prrafodelista"/>
        <w:spacing w:after="0" w:line="360" w:lineRule="auto"/>
        <w:jc w:val="both"/>
        <w:rPr>
          <w:rFonts w:cs="Times New Roman"/>
        </w:rPr>
      </w:pPr>
    </w:p>
    <w:p w14:paraId="00CF46DA" w14:textId="77777777" w:rsidR="00FA1B63" w:rsidRDefault="00FA1B63" w:rsidP="006C1F4F">
      <w:pPr>
        <w:tabs>
          <w:tab w:val="left" w:pos="6521"/>
        </w:tabs>
        <w:spacing w:after="0" w:line="360" w:lineRule="auto"/>
        <w:ind w:right="947"/>
        <w:jc w:val="right"/>
        <w:rPr>
          <w:rFonts w:cs="Times New Roman"/>
        </w:rPr>
      </w:pPr>
    </w:p>
    <w:p w14:paraId="18B72308" w14:textId="77777777" w:rsidR="00FA1B63" w:rsidRDefault="00FA1B63" w:rsidP="006C1F4F">
      <w:pPr>
        <w:tabs>
          <w:tab w:val="left" w:pos="6521"/>
        </w:tabs>
        <w:spacing w:after="0" w:line="360" w:lineRule="auto"/>
        <w:ind w:right="947"/>
        <w:jc w:val="right"/>
        <w:rPr>
          <w:rFonts w:cs="Times New Roman"/>
        </w:rPr>
      </w:pPr>
    </w:p>
    <w:p w14:paraId="7AEFF957" w14:textId="184A6B6C" w:rsidR="003E4BE8" w:rsidRPr="003E4BE8" w:rsidRDefault="003E4BE8" w:rsidP="003E4BE8">
      <w:pPr>
        <w:spacing w:after="0" w:line="240" w:lineRule="auto"/>
        <w:jc w:val="both"/>
        <w:rPr>
          <w:b/>
          <w:bCs/>
        </w:rPr>
      </w:pPr>
      <w:r w:rsidRPr="003E4BE8">
        <w:t xml:space="preserve">Firmado </w:t>
      </w:r>
      <w:r w:rsidR="00C61880">
        <w:t xml:space="preserve">digitalmente </w:t>
      </w:r>
      <w:r w:rsidRPr="003E4BE8">
        <w:t xml:space="preserve">por y en representación de </w:t>
      </w:r>
      <w:r w:rsidR="00AC009E" w:rsidRPr="003E4BE8">
        <w:rPr>
          <w:b/>
          <w:bCs/>
        </w:rPr>
        <w:t>Enagás</w:t>
      </w:r>
    </w:p>
    <w:p w14:paraId="633D7DC2" w14:textId="77777777" w:rsidR="003E4BE8" w:rsidRPr="003E4BE8" w:rsidRDefault="003E4BE8" w:rsidP="003E4BE8">
      <w:pPr>
        <w:spacing w:after="0" w:line="240" w:lineRule="auto"/>
        <w:jc w:val="both"/>
        <w:rPr>
          <w:b/>
          <w:bCs/>
        </w:rPr>
      </w:pPr>
    </w:p>
    <w:p w14:paraId="4A2974B2" w14:textId="77777777" w:rsidR="003E4BE8" w:rsidRPr="003E4BE8" w:rsidRDefault="003E4BE8" w:rsidP="003E4BE8">
      <w:pPr>
        <w:spacing w:after="0" w:line="276" w:lineRule="auto"/>
        <w:ind w:left="-709" w:right="946" w:firstLine="720"/>
        <w:jc w:val="both"/>
        <w:rPr>
          <w:rFonts w:cs="Times New Roman"/>
        </w:rPr>
      </w:pPr>
    </w:p>
    <w:p w14:paraId="336EA7BB" w14:textId="77777777" w:rsidR="003E4BE8" w:rsidRPr="003E4BE8" w:rsidRDefault="003E4BE8" w:rsidP="003E4BE8">
      <w:pPr>
        <w:spacing w:after="0" w:line="276" w:lineRule="auto"/>
        <w:ind w:left="-709" w:right="946" w:firstLine="720"/>
        <w:jc w:val="both"/>
        <w:rPr>
          <w:rFonts w:cs="Times New Roman"/>
        </w:rPr>
      </w:pPr>
    </w:p>
    <w:p w14:paraId="36AB5B35" w14:textId="64228BDD" w:rsidR="003E4BE8" w:rsidRPr="003E4BE8" w:rsidRDefault="003E4BE8" w:rsidP="003E4BE8">
      <w:pPr>
        <w:spacing w:after="0" w:line="276" w:lineRule="auto"/>
        <w:ind w:right="946"/>
        <w:rPr>
          <w:rFonts w:cs="Times New Roman"/>
          <w:color w:val="000000"/>
        </w:rPr>
      </w:pPr>
      <w:r w:rsidRPr="003E4BE8">
        <w:rPr>
          <w:rFonts w:cs="Times New Roman"/>
        </w:rPr>
        <w:t xml:space="preserve">Nombre: </w:t>
      </w:r>
      <w:r w:rsidR="00C61880">
        <w:rPr>
          <w:rFonts w:cs="Times New Roman"/>
        </w:rPr>
        <w:t>Jesús Manuel Gil Jiménez</w:t>
      </w:r>
    </w:p>
    <w:p w14:paraId="66D6C09E" w14:textId="4FCAF8F7" w:rsidR="003E4BE8" w:rsidRPr="003E4BE8" w:rsidRDefault="003E4BE8" w:rsidP="003E4BE8">
      <w:pPr>
        <w:spacing w:after="0" w:line="276" w:lineRule="auto"/>
        <w:ind w:right="946"/>
        <w:rPr>
          <w:rFonts w:cs="Times New Roman"/>
          <w:color w:val="000000"/>
        </w:rPr>
      </w:pPr>
      <w:r w:rsidRPr="003E4BE8">
        <w:rPr>
          <w:rFonts w:cs="Times New Roman"/>
        </w:rPr>
        <w:t xml:space="preserve">Responsabilidad: </w:t>
      </w:r>
      <w:proofErr w:type="gramStart"/>
      <w:r w:rsidR="00C61880">
        <w:rPr>
          <w:rFonts w:cs="Times New Roman"/>
        </w:rPr>
        <w:t>Director</w:t>
      </w:r>
      <w:proofErr w:type="gramEnd"/>
      <w:r w:rsidR="00C61880">
        <w:rPr>
          <w:rFonts w:cs="Times New Roman"/>
        </w:rPr>
        <w:t xml:space="preserve"> de hidrógeno, Enagás</w:t>
      </w:r>
      <w:r w:rsidR="00917203">
        <w:rPr>
          <w:rFonts w:cs="Times New Roman"/>
        </w:rPr>
        <w:t xml:space="preserve"> S.A.</w:t>
      </w:r>
    </w:p>
    <w:p w14:paraId="57A8485C" w14:textId="77777777" w:rsidR="003E4BE8" w:rsidRPr="003E4BE8" w:rsidRDefault="003E4BE8" w:rsidP="003E4BE8">
      <w:pPr>
        <w:spacing w:after="0" w:line="276" w:lineRule="auto"/>
        <w:ind w:right="946"/>
        <w:rPr>
          <w:rFonts w:cs="Times New Roman"/>
          <w:color w:val="000000"/>
        </w:rPr>
      </w:pPr>
    </w:p>
    <w:p w14:paraId="6DECDEE4" w14:textId="77777777" w:rsidR="003E4BE8" w:rsidRPr="003E4BE8" w:rsidRDefault="003E4BE8" w:rsidP="003E4BE8">
      <w:pPr>
        <w:spacing w:after="0" w:line="276" w:lineRule="auto"/>
        <w:ind w:right="946"/>
        <w:rPr>
          <w:rFonts w:cs="Times New Roman"/>
          <w:color w:val="000000"/>
        </w:rPr>
      </w:pPr>
    </w:p>
    <w:p w14:paraId="332FB921" w14:textId="77777777" w:rsidR="003E4BE8" w:rsidRPr="003E4BE8" w:rsidRDefault="003E4BE8" w:rsidP="003E4BE8">
      <w:pPr>
        <w:spacing w:after="0" w:line="276" w:lineRule="auto"/>
        <w:ind w:right="946"/>
        <w:rPr>
          <w:rFonts w:cs="Times New Roman"/>
          <w:color w:val="000000"/>
        </w:rPr>
      </w:pPr>
    </w:p>
    <w:p w14:paraId="48DDFAD5" w14:textId="77777777" w:rsidR="003E4BE8" w:rsidRPr="003E4BE8" w:rsidRDefault="003E4BE8" w:rsidP="003E4BE8">
      <w:pPr>
        <w:spacing w:after="0" w:line="276" w:lineRule="auto"/>
        <w:ind w:right="946"/>
        <w:rPr>
          <w:rFonts w:cs="Times New Roman"/>
          <w:color w:val="000000"/>
        </w:rPr>
      </w:pPr>
    </w:p>
    <w:p w14:paraId="381F6AC0" w14:textId="67E4BE38" w:rsidR="003E4BE8" w:rsidRPr="003E4BE8" w:rsidRDefault="003E4BE8" w:rsidP="003E4BE8">
      <w:pPr>
        <w:spacing w:after="0" w:line="240" w:lineRule="auto"/>
        <w:jc w:val="both"/>
        <w:rPr>
          <w:b/>
          <w:bCs/>
        </w:rPr>
      </w:pPr>
      <w:r w:rsidRPr="003E4BE8">
        <w:t xml:space="preserve">Firmado </w:t>
      </w:r>
      <w:r w:rsidR="00C61880">
        <w:t xml:space="preserve">digitalmente </w:t>
      </w:r>
      <w:r w:rsidRPr="003E4BE8">
        <w:t xml:space="preserve">por y en representación de </w:t>
      </w:r>
      <w:r w:rsidRPr="003E4BE8">
        <w:rPr>
          <w:rFonts w:cs="Times New Roman"/>
        </w:rPr>
        <w:t>[•]</w:t>
      </w:r>
    </w:p>
    <w:p w14:paraId="284F165A" w14:textId="77777777" w:rsidR="003E4BE8" w:rsidRPr="003E4BE8" w:rsidRDefault="003E4BE8" w:rsidP="003E4BE8">
      <w:pPr>
        <w:spacing w:after="0" w:line="240" w:lineRule="auto"/>
        <w:jc w:val="both"/>
        <w:rPr>
          <w:b/>
          <w:bCs/>
        </w:rPr>
      </w:pPr>
    </w:p>
    <w:p w14:paraId="4D295BD5" w14:textId="77777777" w:rsidR="003E4BE8" w:rsidRPr="003E4BE8" w:rsidRDefault="003E4BE8" w:rsidP="003E4BE8">
      <w:pPr>
        <w:spacing w:after="0" w:line="276" w:lineRule="auto"/>
        <w:ind w:left="-709" w:right="946" w:firstLine="720"/>
        <w:jc w:val="both"/>
        <w:rPr>
          <w:rFonts w:cs="Times New Roman"/>
        </w:rPr>
      </w:pPr>
    </w:p>
    <w:p w14:paraId="46B4DD36" w14:textId="77777777" w:rsidR="003E4BE8" w:rsidRPr="003E4BE8" w:rsidRDefault="003E4BE8" w:rsidP="003E4BE8">
      <w:pPr>
        <w:spacing w:after="0" w:line="276" w:lineRule="auto"/>
        <w:ind w:left="-709" w:right="946" w:firstLine="720"/>
        <w:jc w:val="both"/>
        <w:rPr>
          <w:rFonts w:cs="Times New Roman"/>
        </w:rPr>
      </w:pPr>
    </w:p>
    <w:p w14:paraId="23972A80" w14:textId="77777777" w:rsidR="003E4BE8" w:rsidRPr="003E4BE8" w:rsidRDefault="003E4BE8" w:rsidP="003E4BE8">
      <w:pPr>
        <w:spacing w:after="0" w:line="276" w:lineRule="auto"/>
        <w:ind w:left="-709" w:right="946" w:firstLine="720"/>
        <w:jc w:val="both"/>
        <w:rPr>
          <w:rFonts w:cs="Times New Roman"/>
        </w:rPr>
      </w:pPr>
    </w:p>
    <w:p w14:paraId="136EB907" w14:textId="77777777" w:rsidR="003E4BE8" w:rsidRPr="003E4BE8" w:rsidRDefault="003E4BE8" w:rsidP="003E4BE8">
      <w:pPr>
        <w:spacing w:after="0" w:line="276" w:lineRule="auto"/>
        <w:ind w:right="946"/>
        <w:rPr>
          <w:rFonts w:cs="Times New Roman"/>
          <w:color w:val="000000"/>
        </w:rPr>
      </w:pPr>
      <w:r w:rsidRPr="003E4BE8">
        <w:rPr>
          <w:rFonts w:cs="Times New Roman"/>
        </w:rPr>
        <w:t>Nombre: [•]</w:t>
      </w:r>
    </w:p>
    <w:p w14:paraId="637DF452" w14:textId="1BEE0393" w:rsidR="00401B87" w:rsidRPr="003E4BE8" w:rsidRDefault="003E4BE8" w:rsidP="147D20D7">
      <w:pPr>
        <w:spacing w:after="0" w:line="276" w:lineRule="auto"/>
        <w:ind w:right="946"/>
        <w:rPr>
          <w:rFonts w:cs="Times New Roman"/>
          <w:color w:val="000000" w:themeColor="text1"/>
        </w:rPr>
      </w:pPr>
      <w:r w:rsidRPr="147D20D7">
        <w:rPr>
          <w:rFonts w:cs="Times New Roman"/>
        </w:rPr>
        <w:t>Responsabilidad: [•]</w:t>
      </w:r>
    </w:p>
    <w:p w14:paraId="24A0EE64" w14:textId="4CE63FCE" w:rsidR="00401B87" w:rsidRPr="003E4BE8" w:rsidRDefault="00401B87" w:rsidP="00401B87">
      <w:pPr>
        <w:spacing w:after="0" w:line="360" w:lineRule="auto"/>
        <w:jc w:val="right"/>
        <w:rPr>
          <w:rFonts w:cs="Times New Roman"/>
        </w:rPr>
      </w:pPr>
    </w:p>
    <w:p w14:paraId="6D6F9EFB" w14:textId="77777777" w:rsidR="00401B87" w:rsidRPr="003E4BE8" w:rsidRDefault="00401B87" w:rsidP="00401B87">
      <w:pPr>
        <w:spacing w:after="0" w:line="360" w:lineRule="auto"/>
        <w:jc w:val="right"/>
        <w:rPr>
          <w:rFonts w:cs="Times New Roman"/>
        </w:rPr>
      </w:pPr>
    </w:p>
    <w:p w14:paraId="74C15500" w14:textId="77777777" w:rsidR="002E292E" w:rsidRPr="003E4BE8" w:rsidRDefault="002E292E" w:rsidP="002E292E">
      <w:pPr>
        <w:spacing w:after="0" w:line="360" w:lineRule="auto"/>
      </w:pPr>
    </w:p>
    <w:sectPr w:rsidR="002E292E" w:rsidRPr="003E4BE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DBF55" w14:textId="77777777" w:rsidR="00404277" w:rsidRDefault="00404277" w:rsidP="002E292E">
      <w:pPr>
        <w:spacing w:after="0" w:line="240" w:lineRule="auto"/>
      </w:pPr>
      <w:r>
        <w:separator/>
      </w:r>
    </w:p>
  </w:endnote>
  <w:endnote w:type="continuationSeparator" w:id="0">
    <w:p w14:paraId="4D871EE4" w14:textId="77777777" w:rsidR="00404277" w:rsidRDefault="00404277" w:rsidP="002E2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41788477"/>
      <w:docPartObj>
        <w:docPartGallery w:val="Page Numbers (Bottom of Page)"/>
        <w:docPartUnique/>
      </w:docPartObj>
    </w:sdtPr>
    <w:sdtContent>
      <w:p w14:paraId="73719082" w14:textId="33303216" w:rsidR="002E292E" w:rsidRPr="002E292E" w:rsidRDefault="002E292E" w:rsidP="002E292E">
        <w:pPr>
          <w:pStyle w:val="Piedepgina"/>
          <w:jc w:val="right"/>
          <w:rPr>
            <w:sz w:val="18"/>
            <w:szCs w:val="18"/>
          </w:rPr>
        </w:pPr>
        <w:r w:rsidRPr="002E292E">
          <w:rPr>
            <w:sz w:val="18"/>
            <w:szCs w:val="18"/>
          </w:rPr>
          <w:fldChar w:fldCharType="begin"/>
        </w:r>
        <w:r w:rsidRPr="002E292E">
          <w:rPr>
            <w:sz w:val="18"/>
            <w:szCs w:val="18"/>
          </w:rPr>
          <w:instrText>PAGE   \* MERGEFORMAT</w:instrText>
        </w:r>
        <w:r w:rsidRPr="002E292E">
          <w:rPr>
            <w:sz w:val="18"/>
            <w:szCs w:val="18"/>
          </w:rPr>
          <w:fldChar w:fldCharType="separate"/>
        </w:r>
        <w:r w:rsidRPr="002E292E">
          <w:rPr>
            <w:sz w:val="18"/>
            <w:szCs w:val="18"/>
          </w:rPr>
          <w:t>2</w:t>
        </w:r>
        <w:r w:rsidRPr="002E292E">
          <w:rPr>
            <w:sz w:val="18"/>
            <w:szCs w:val="18"/>
          </w:rPr>
          <w:fldChar w:fldCharType="end"/>
        </w:r>
      </w:p>
    </w:sdtContent>
  </w:sdt>
  <w:p w14:paraId="1AA1B18E" w14:textId="77777777" w:rsidR="002E292E" w:rsidRDefault="002E29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32484" w14:textId="77777777" w:rsidR="00404277" w:rsidRDefault="00404277" w:rsidP="002E292E">
      <w:pPr>
        <w:spacing w:after="0" w:line="240" w:lineRule="auto"/>
      </w:pPr>
      <w:r>
        <w:separator/>
      </w:r>
    </w:p>
  </w:footnote>
  <w:footnote w:type="continuationSeparator" w:id="0">
    <w:p w14:paraId="7992A968" w14:textId="77777777" w:rsidR="00404277" w:rsidRDefault="00404277" w:rsidP="002E29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CB2B" w14:textId="77777777" w:rsidR="002E292E" w:rsidRDefault="000244FB" w:rsidP="002E292E">
    <w:pPr>
      <w:pStyle w:val="Encabezado"/>
      <w:jc w:val="center"/>
    </w:pPr>
    <w:r>
      <w:rPr>
        <w:noProof/>
      </w:rPr>
      <w:drawing>
        <wp:anchor distT="0" distB="0" distL="114300" distR="114300" simplePos="0" relativeHeight="251660288" behindDoc="1" locked="0" layoutInCell="1" allowOverlap="1" wp14:anchorId="1989F503" wp14:editId="1C4973B1">
          <wp:simplePos x="0" y="0"/>
          <wp:positionH relativeFrom="column">
            <wp:posOffset>2637790</wp:posOffset>
          </wp:positionH>
          <wp:positionV relativeFrom="paragraph">
            <wp:posOffset>-286385</wp:posOffset>
          </wp:positionV>
          <wp:extent cx="832485" cy="569595"/>
          <wp:effectExtent l="0" t="0" r="5715" b="1905"/>
          <wp:wrapTight wrapText="bothSides">
            <wp:wrapPolygon edited="0">
              <wp:start x="0" y="0"/>
              <wp:lineTo x="0" y="20950"/>
              <wp:lineTo x="21254" y="20950"/>
              <wp:lineTo x="212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485" cy="569595"/>
                  </a:xfrm>
                  <a:prstGeom prst="rect">
                    <a:avLst/>
                  </a:prstGeom>
                  <a:noFill/>
                </pic:spPr>
              </pic:pic>
            </a:graphicData>
          </a:graphic>
          <wp14:sizeRelH relativeFrom="margin">
            <wp14:pctWidth>0</wp14:pctWidth>
          </wp14:sizeRelH>
        </wp:anchor>
      </w:drawing>
    </w:r>
  </w:p>
  <w:p w14:paraId="51B9BD59" w14:textId="4B380E5A" w:rsidR="002E292E" w:rsidRDefault="009C4BBC" w:rsidP="002E292E">
    <w:pPr>
      <w:pStyle w:val="Encabezado"/>
      <w:jc w:val="center"/>
    </w:pPr>
    <w:r>
      <w:rPr>
        <w:noProof/>
      </w:rPr>
      <mc:AlternateContent>
        <mc:Choice Requires="wps">
          <w:drawing>
            <wp:anchor distT="0" distB="0" distL="114300" distR="114300" simplePos="0" relativeHeight="251661312" behindDoc="0" locked="0" layoutInCell="1" allowOverlap="1" wp14:anchorId="0DBED2A2" wp14:editId="04C50D5A">
              <wp:simplePos x="0" y="0"/>
              <wp:positionH relativeFrom="column">
                <wp:posOffset>-343536</wp:posOffset>
              </wp:positionH>
              <wp:positionV relativeFrom="paragraph">
                <wp:posOffset>177800</wp:posOffset>
              </wp:positionV>
              <wp:extent cx="6481785" cy="1521"/>
              <wp:effectExtent l="0" t="0" r="33655" b="36830"/>
              <wp:wrapNone/>
              <wp:docPr id="3" name="Straight Connector 3"/>
              <wp:cNvGraphicFramePr/>
              <a:graphic xmlns:a="http://schemas.openxmlformats.org/drawingml/2006/main">
                <a:graphicData uri="http://schemas.microsoft.com/office/word/2010/wordprocessingShape">
                  <wps:wsp>
                    <wps:cNvCnPr/>
                    <wps:spPr>
                      <a:xfrm>
                        <a:off x="0" y="0"/>
                        <a:ext cx="6481785" cy="1521"/>
                      </a:xfrm>
                      <a:prstGeom prst="line">
                        <a:avLst/>
                      </a:prstGeom>
                      <a:ln w="952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0ad47 [3209]" from="-27.05pt,14pt" to="483.35pt,14.1pt" w14:anchorId="4CD0DC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A104D"/>
    <w:multiLevelType w:val="hybridMultilevel"/>
    <w:tmpl w:val="3DE852EC"/>
    <w:lvl w:ilvl="0" w:tplc="AF560092">
      <w:start w:val="1"/>
      <w:numFmt w:val="upperRoman"/>
      <w:lvlText w:val="%1."/>
      <w:lvlJc w:val="left"/>
      <w:pPr>
        <w:ind w:left="1080" w:hanging="72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6CE5B71"/>
    <w:multiLevelType w:val="hybridMultilevel"/>
    <w:tmpl w:val="EE549C74"/>
    <w:lvl w:ilvl="0" w:tplc="9DEE5CB0">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E1C7779"/>
    <w:multiLevelType w:val="hybridMultilevel"/>
    <w:tmpl w:val="784A19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BD25717"/>
    <w:multiLevelType w:val="hybridMultilevel"/>
    <w:tmpl w:val="2198378C"/>
    <w:lvl w:ilvl="0" w:tplc="5F1A0520">
      <w:start w:val="1"/>
      <w:numFmt w:val="lowerLetter"/>
      <w:lvlText w:val="%1)"/>
      <w:lvlJc w:val="left"/>
      <w:pPr>
        <w:ind w:left="1068" w:hanging="360"/>
      </w:pPr>
      <w:rPr>
        <w:b/>
        <w:bCs/>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383791536">
    <w:abstractNumId w:val="1"/>
  </w:num>
  <w:num w:numId="2" w16cid:durableId="934751547">
    <w:abstractNumId w:val="2"/>
  </w:num>
  <w:num w:numId="3" w16cid:durableId="1508400242">
    <w:abstractNumId w:val="3"/>
  </w:num>
  <w:num w:numId="4" w16cid:durableId="1772775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2E"/>
    <w:rsid w:val="000244FB"/>
    <w:rsid w:val="00057DF9"/>
    <w:rsid w:val="00060323"/>
    <w:rsid w:val="000841B1"/>
    <w:rsid w:val="001379DC"/>
    <w:rsid w:val="0015110F"/>
    <w:rsid w:val="00193855"/>
    <w:rsid w:val="001D13C2"/>
    <w:rsid w:val="00225FD0"/>
    <w:rsid w:val="002433B8"/>
    <w:rsid w:val="002459E7"/>
    <w:rsid w:val="0027616D"/>
    <w:rsid w:val="002A420B"/>
    <w:rsid w:val="002D135F"/>
    <w:rsid w:val="002E292E"/>
    <w:rsid w:val="003335B7"/>
    <w:rsid w:val="00350C5B"/>
    <w:rsid w:val="00361F8D"/>
    <w:rsid w:val="00391FE5"/>
    <w:rsid w:val="003A25E2"/>
    <w:rsid w:val="003E4BE8"/>
    <w:rsid w:val="00401B87"/>
    <w:rsid w:val="00404277"/>
    <w:rsid w:val="00474E6A"/>
    <w:rsid w:val="004D0CBD"/>
    <w:rsid w:val="004E1BDB"/>
    <w:rsid w:val="00567185"/>
    <w:rsid w:val="005D48F5"/>
    <w:rsid w:val="005E12E3"/>
    <w:rsid w:val="005E73F0"/>
    <w:rsid w:val="00626DEE"/>
    <w:rsid w:val="00646468"/>
    <w:rsid w:val="00696B9E"/>
    <w:rsid w:val="006A1B1B"/>
    <w:rsid w:val="006C1F4F"/>
    <w:rsid w:val="00717493"/>
    <w:rsid w:val="007D2D39"/>
    <w:rsid w:val="00810902"/>
    <w:rsid w:val="008D7D02"/>
    <w:rsid w:val="008E5549"/>
    <w:rsid w:val="00917203"/>
    <w:rsid w:val="00934811"/>
    <w:rsid w:val="009A1066"/>
    <w:rsid w:val="009C0A81"/>
    <w:rsid w:val="009C4BBC"/>
    <w:rsid w:val="00A77EA6"/>
    <w:rsid w:val="00AC009E"/>
    <w:rsid w:val="00B35DED"/>
    <w:rsid w:val="00BC1C19"/>
    <w:rsid w:val="00BC37CE"/>
    <w:rsid w:val="00C20B20"/>
    <w:rsid w:val="00C61880"/>
    <w:rsid w:val="00C660DA"/>
    <w:rsid w:val="00C94A0E"/>
    <w:rsid w:val="00CE5BA4"/>
    <w:rsid w:val="00CE7B55"/>
    <w:rsid w:val="00D314E3"/>
    <w:rsid w:val="00D346CD"/>
    <w:rsid w:val="00E41388"/>
    <w:rsid w:val="00F32AFC"/>
    <w:rsid w:val="00F51014"/>
    <w:rsid w:val="00FA1B63"/>
    <w:rsid w:val="00FA2CE2"/>
    <w:rsid w:val="00FB17FC"/>
    <w:rsid w:val="00FD5762"/>
    <w:rsid w:val="00FF6842"/>
    <w:rsid w:val="00FF7978"/>
    <w:rsid w:val="0261B55C"/>
    <w:rsid w:val="147D20D7"/>
    <w:rsid w:val="61156550"/>
    <w:rsid w:val="62A552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5C1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92E"/>
    <w:pPr>
      <w:spacing w:line="480" w:lineRule="auto"/>
    </w:pPr>
    <w:rPr>
      <w:rFonts w:ascii="Georgia" w:hAnsi="Georg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292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E292E"/>
    <w:rPr>
      <w:rFonts w:ascii="Georgia" w:hAnsi="Georgia"/>
      <w:lang w:val="en-US"/>
    </w:rPr>
  </w:style>
  <w:style w:type="paragraph" w:styleId="Piedepgina">
    <w:name w:val="footer"/>
    <w:basedOn w:val="Normal"/>
    <w:link w:val="PiedepginaCar"/>
    <w:uiPriority w:val="99"/>
    <w:unhideWhenUsed/>
    <w:rsid w:val="002E292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E292E"/>
    <w:rPr>
      <w:rFonts w:ascii="Georgia" w:hAnsi="Georgia"/>
      <w:lang w:val="en-US"/>
    </w:rPr>
  </w:style>
  <w:style w:type="paragraph" w:styleId="Prrafodelista">
    <w:name w:val="List Paragraph"/>
    <w:basedOn w:val="Normal"/>
    <w:uiPriority w:val="34"/>
    <w:qFormat/>
    <w:rsid w:val="002A420B"/>
    <w:pPr>
      <w:ind w:left="720"/>
      <w:contextualSpacing/>
    </w:pPr>
  </w:style>
  <w:style w:type="character" w:styleId="Refdecomentario">
    <w:name w:val="annotation reference"/>
    <w:basedOn w:val="Fuentedeprrafopredeter"/>
    <w:uiPriority w:val="99"/>
    <w:semiHidden/>
    <w:unhideWhenUsed/>
    <w:rsid w:val="00057DF9"/>
    <w:rPr>
      <w:sz w:val="16"/>
      <w:szCs w:val="16"/>
    </w:rPr>
  </w:style>
  <w:style w:type="paragraph" w:styleId="Textocomentario">
    <w:name w:val="annotation text"/>
    <w:basedOn w:val="Normal"/>
    <w:link w:val="TextocomentarioCar"/>
    <w:uiPriority w:val="99"/>
    <w:unhideWhenUsed/>
    <w:rsid w:val="00057DF9"/>
    <w:pPr>
      <w:spacing w:line="240" w:lineRule="auto"/>
    </w:pPr>
    <w:rPr>
      <w:sz w:val="20"/>
      <w:szCs w:val="20"/>
    </w:rPr>
  </w:style>
  <w:style w:type="character" w:customStyle="1" w:styleId="TextocomentarioCar">
    <w:name w:val="Texto comentario Car"/>
    <w:basedOn w:val="Fuentedeprrafopredeter"/>
    <w:link w:val="Textocomentario"/>
    <w:uiPriority w:val="99"/>
    <w:rsid w:val="00057DF9"/>
    <w:rPr>
      <w:rFonts w:ascii="Georgia" w:hAnsi="Georgia"/>
      <w:sz w:val="20"/>
      <w:szCs w:val="20"/>
    </w:rPr>
  </w:style>
  <w:style w:type="paragraph" w:styleId="Asuntodelcomentario">
    <w:name w:val="annotation subject"/>
    <w:basedOn w:val="Textocomentario"/>
    <w:next w:val="Textocomentario"/>
    <w:link w:val="AsuntodelcomentarioCar"/>
    <w:uiPriority w:val="99"/>
    <w:semiHidden/>
    <w:unhideWhenUsed/>
    <w:rsid w:val="00057DF9"/>
    <w:rPr>
      <w:b/>
      <w:bCs/>
    </w:rPr>
  </w:style>
  <w:style w:type="character" w:customStyle="1" w:styleId="AsuntodelcomentarioCar">
    <w:name w:val="Asunto del comentario Car"/>
    <w:basedOn w:val="TextocomentarioCar"/>
    <w:link w:val="Asuntodelcomentario"/>
    <w:uiPriority w:val="99"/>
    <w:semiHidden/>
    <w:rsid w:val="00057DF9"/>
    <w:rPr>
      <w:rFonts w:ascii="Georgia" w:hAnsi="Georgia"/>
      <w:b/>
      <w:bCs/>
      <w:sz w:val="20"/>
      <w:szCs w:val="20"/>
    </w:rPr>
  </w:style>
  <w:style w:type="paragraph" w:styleId="Revisin">
    <w:name w:val="Revision"/>
    <w:hidden/>
    <w:uiPriority w:val="99"/>
    <w:semiHidden/>
    <w:rsid w:val="00F32AFC"/>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57792-5F15-4360-8F26-E549FBF54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2220</Words>
  <Characters>12212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2023-09-21T10:58:00Z</dcterms:created>
  <dcterms:modified xsi:type="dcterms:W3CDTF">2023-09-21T10:58:00Z</dcterms:modified>
</cp:coreProperties>
</file>